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4393"/>
        <w:gridCol w:w="5525"/>
      </w:tblGrid>
      <w:tr>
        <w:tblPrEx/>
        <w:trPr>
          <w:trHeight w:val="1713"/>
        </w:trPr>
        <w:tc>
          <w:tcPr>
            <w:shd w:val="clear" w:color="auto" w:fill="auto"/>
            <w:tcW w:w="4393" w:type="dxa"/>
            <w:textDirection w:val="lrTb"/>
            <w:noWrap w:val="false"/>
          </w:tcPr>
          <w:p>
            <w:pPr>
              <w:jc w:val="right"/>
              <w:keepLines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5524" w:type="dxa"/>
            <w:textDirection w:val="lrTb"/>
            <w:noWrap w:val="false"/>
          </w:tcPr>
          <w:p>
            <w:pPr>
              <w:ind w:left="56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 1 к Документации о закупке</w:t>
            </w:r>
            <w:r>
              <w:rPr>
                <w:sz w:val="24"/>
                <w:szCs w:val="24"/>
              </w:rPr>
            </w:r>
          </w:p>
          <w:p>
            <w:pPr>
              <w:ind w:left="56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righ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</w:t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ОКПД2 33.12.15 Выполнение работ по ремонту подъемно-транспортного оборудования</w:t>
      </w:r>
      <w:r>
        <w:rPr>
          <w:rFonts w:eastAsia="Calibri"/>
          <w:sz w:val="24"/>
          <w:szCs w:val="24"/>
        </w:rPr>
      </w:r>
    </w:p>
    <w:p>
      <w:pPr>
        <w:jc w:val="center"/>
        <w:keepLines/>
        <w:keepNext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и подкрановых путей  СП «ТЭЦ Восточная», г. Владивосток</w:t>
      </w:r>
      <w:r>
        <w:rPr>
          <w:rFonts w:eastAsia="Calibri"/>
          <w:sz w:val="24"/>
          <w:szCs w:val="24"/>
        </w:rPr>
      </w:r>
    </w:p>
    <w:p>
      <w:pPr>
        <w:jc w:val="center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ЛОТ</w:t>
      </w:r>
      <w:r>
        <w:rPr>
          <w:sz w:val="24"/>
          <w:szCs w:val="24"/>
        </w:rPr>
        <w:t xml:space="preserve"> № 11038005-РЕМ ПРОД-2026-ДГК-ВосТЭЦ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br w:type="page" w:clear="all"/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</w:p>
    <w:sdt>
      <w:sdtPr>
        <w15:appearance w15:val="boundingBox"/>
        <w:id w:val="-170877598"/>
        <w:docPartObj>
          <w:docPartGallery w:val="Table of Contents"/>
          <w:docPartUnique w:val="true"/>
        </w:docPartObj>
        <w:rPr/>
      </w:sdtPr>
      <w:sdtContent>
        <w:p>
          <w:pPr>
            <w:pStyle w:val="935"/>
            <w:tabs>
              <w:tab w:val="left" w:pos="567" w:leader="none"/>
              <w:tab w:val="right" w:pos="9921" w:leader="dot"/>
            </w:tabs>
            <w:rPr>
              <w:caps/>
            </w:rPr>
          </w:pPr>
          <w:r>
            <w:fldChar w:fldCharType="begin"/>
          </w:r>
          <w:r>
            <w:rPr>
              <w:rStyle w:val="908"/>
            </w:rPr>
            <w:instrText xml:space="preserve"> TOC \o "1-3" \h</w:instrText>
          </w:r>
          <w:r>
            <w:rPr>
              <w:rStyle w:val="908"/>
            </w:rPr>
            <w:fldChar w:fldCharType="separate"/>
          </w:r>
          <w:hyperlink w:tooltip="#_Toc1" w:anchor="_Toc1" w:history="1">
            <w:r>
              <w:rPr>
                <w:rFonts w:eastAsia="Calibri" w:cs="Times New Roman"/>
              </w:rPr>
              <w:t xml:space="preserve">1.</w:t>
            </w:r>
            <w:r>
              <w:tab/>
            </w:r>
            <w:r>
              <w:rPr>
                <w:rStyle w:val="867"/>
              </w:rPr>
              <w:t xml:space="preserve">Общие свед</w:t>
            </w:r>
            <w:r>
              <w:rPr>
                <w:rStyle w:val="867"/>
              </w:rPr>
              <w:t xml:space="preserve">ения</w:t>
            </w:r>
            <w:r>
              <w:tab/>
            </w:r>
            <w:r>
              <w:fldChar w:fldCharType="begin"/>
            </w:r>
            <w:r>
              <w:instrText xml:space="preserve">PAGEREF _Toc1 \h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>
            <w:rPr>
              <w:caps/>
            </w:rPr>
          </w:r>
        </w:p>
        <w:p>
          <w:pPr>
            <w:pStyle w:val="935"/>
            <w:tabs>
              <w:tab w:val="right" w:pos="9921" w:leader="dot"/>
            </w:tabs>
          </w:pPr>
          <w:r/>
          <w:hyperlink w:tooltip="#_Toc2" w:anchor="_Toc2" w:history="1">
            <w:r>
              <w:rPr>
                <w:rStyle w:val="867"/>
              </w:rPr>
              <w:t xml:space="preserve">Таблица 1. Перечень объектов заказчика</w:t>
            </w:r>
            <w:r>
              <w:tab/>
            </w:r>
            <w:r>
              <w:fldChar w:fldCharType="begin"/>
            </w:r>
            <w:r>
              <w:instrText xml:space="preserve">PAGEREF _Toc2 \h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935"/>
            <w:tabs>
              <w:tab w:val="left" w:pos="567" w:leader="none"/>
              <w:tab w:val="right" w:pos="9921" w:leader="dot"/>
            </w:tabs>
            <w:rPr>
              <w:iCs/>
              <w:caps/>
            </w:rPr>
          </w:pPr>
          <w:r/>
          <w:hyperlink w:tooltip="#_Toc3" w:anchor="_Toc3" w:history="1">
            <w:r>
              <w:rPr>
                <w:rFonts w:eastAsia="Calibri" w:cs="Times New Roman"/>
              </w:rPr>
              <w:t xml:space="preserve">2.</w:t>
            </w:r>
            <w:r>
              <w:tab/>
            </w:r>
            <w:r>
              <w:rPr>
                <w:rStyle w:val="867"/>
                <w:iCs/>
              </w:rPr>
              <w:t xml:space="preserve">Требования к продукции</w:t>
            </w:r>
            <w:r>
              <w:tab/>
            </w:r>
            <w:r>
              <w:fldChar w:fldCharType="begin"/>
            </w:r>
            <w:r>
              <w:instrText xml:space="preserve">PAGEREF _Toc3 \h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</w:hyperlink>
          <w:r/>
          <w:r>
            <w:rPr>
              <w:iCs/>
              <w:caps/>
            </w:rPr>
          </w:r>
        </w:p>
        <w:p>
          <w:pPr>
            <w:pStyle w:val="936"/>
            <w:tabs>
              <w:tab w:val="left" w:pos="1134" w:leader="none"/>
              <w:tab w:val="right" w:pos="9921" w:leader="dot"/>
            </w:tabs>
          </w:pPr>
          <w:r/>
          <w:hyperlink w:tooltip="#_Toc4" w:anchor="_Toc4" w:history="1">
            <w:r>
              <w:rPr>
                <w:rFonts w:eastAsia="Calibri" w:cs="Arial Unicode MS"/>
              </w:rPr>
              <w:t xml:space="preserve">2.1.1.</w:t>
            </w:r>
            <w:r>
              <w:tab/>
            </w:r>
            <w:r>
              <w:rPr>
                <w:rStyle w:val="867"/>
              </w:rPr>
              <w:t xml:space="preserve">Требования к видам и объемам работТаблица 2. Перечень и объем выполняемых</w:t>
            </w:r>
            <w:r>
              <w:rPr>
                <w:rStyle w:val="867"/>
              </w:rPr>
              <w:t xml:space="preserve"> работ</w:t>
            </w:r>
            <w:r>
              <w:tab/>
            </w:r>
            <w:r>
              <w:fldChar w:fldCharType="begin"/>
            </w:r>
            <w:r>
              <w:instrText xml:space="preserve">PAGEREF _Toc4 \h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936"/>
            <w:tabs>
              <w:tab w:val="left" w:pos="1134" w:leader="none"/>
              <w:tab w:val="right" w:pos="9921" w:leader="dot"/>
            </w:tabs>
          </w:pPr>
          <w:r/>
          <w:hyperlink w:tooltip="#_Toc5" w:anchor="_Toc5" w:history="1">
            <w:r>
              <w:rPr>
                <w:rFonts w:eastAsia="Calibri" w:cs="Arial Unicode MS"/>
              </w:rPr>
              <w:t xml:space="preserve">2.1.2.</w:t>
            </w:r>
            <w:r>
              <w:tab/>
            </w:r>
            <w:r>
              <w:rPr>
                <w:rStyle w:val="867"/>
              </w:rPr>
              <w:t xml:space="preserve">Требования к срокам выполнения работ Таблица 3. Требования по срокам выполнения работ</w:t>
            </w:r>
            <w:r>
              <w:tab/>
            </w:r>
            <w:r>
              <w:fldChar w:fldCharType="begin"/>
            </w:r>
            <w:r>
              <w:instrText xml:space="preserve">PAGEREF _Toc5 \h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935"/>
            <w:tabs>
              <w:tab w:val="right" w:pos="9921" w:leader="dot"/>
            </w:tabs>
          </w:pPr>
          <w:r/>
          <w:hyperlink w:tooltip="#_Toc6" w:anchor="_Toc6" w:history="1">
            <w:r>
              <w:rPr>
                <w:rStyle w:val="867"/>
              </w:rPr>
              <w:t xml:space="preserve">Таблица 4. Требования к качеству работ: ОКПД2 33.12.15 Выполнение работ по ремонту подъемно-транспортного оборудования и подкрановых путей  СП «ТЭЦ Восточная», г. Владивосток</w:t>
            </w:r>
            <w:r>
              <w:tab/>
            </w:r>
            <w:r>
              <w:fldChar w:fldCharType="begin"/>
            </w:r>
            <w:r>
              <w:instrText xml:space="preserve">PAGEREF</w:instrText>
            </w:r>
            <w:r>
              <w:instrText xml:space="preserve"> _Toc6 \h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935"/>
            <w:tabs>
              <w:tab w:val="left" w:pos="567" w:leader="none"/>
              <w:tab w:val="right" w:pos="9921" w:leader="dot"/>
            </w:tabs>
          </w:pPr>
          <w:r/>
          <w:hyperlink w:tooltip="#_Toc7" w:anchor="_Toc7" w:history="1">
            <w:r>
              <w:rPr>
                <w:rFonts w:eastAsia="Calibri" w:cs="Times New Roman"/>
              </w:rPr>
              <w:t xml:space="preserve">3.</w:t>
            </w:r>
            <w:r>
              <w:tab/>
            </w:r>
            <w:r>
              <w:rPr>
                <w:rStyle w:val="867"/>
                <w:rFonts w:eastAsia="Times New Roman" w:cs="Times New Roman"/>
              </w:rPr>
              <w:t xml:space="preserve">Требования к документации по ценообразованию на этапе закупки</w:t>
            </w:r>
            <w:r>
              <w:tab/>
            </w:r>
            <w:r>
              <w:fldChar w:fldCharType="begin"/>
            </w:r>
            <w:r>
              <w:instrText xml:space="preserve">PAGEREF _Toc7 \h</w:instrText>
            </w:r>
            <w:r>
              <w:fldChar w:fldCharType="separate"/>
            </w:r>
            <w:r>
              <w:t xml:space="preserve">16</w:t>
            </w:r>
            <w:r>
              <w:fldChar w:fldCharType="end"/>
            </w:r>
          </w:hyperlink>
          <w:r/>
          <w:r/>
        </w:p>
        <w:p>
          <w:pPr>
            <w:pStyle w:val="935"/>
            <w:tabs>
              <w:tab w:val="left" w:pos="567" w:leader="none"/>
              <w:tab w:val="right" w:pos="9921" w:leader="dot"/>
            </w:tabs>
            <w:rPr>
              <w:rFonts w:cs="Times New Roman"/>
            </w:rPr>
          </w:pPr>
          <w:r/>
          <w:hyperlink w:tooltip="#_Toc8" w:anchor="_Toc8" w:history="1">
            <w:r>
              <w:rPr>
                <w:rFonts w:eastAsia="Calibri" w:cs="Times New Roman"/>
              </w:rPr>
              <w:t xml:space="preserve">4.</w:t>
            </w:r>
            <w:r>
              <w:tab/>
            </w:r>
            <w:r>
              <w:rPr>
                <w:rStyle w:val="867"/>
                <w:rFonts w:eastAsia="Times New Roman" w:cs="Times New Roman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tab/>
            </w:r>
            <w:r>
              <w:fldChar w:fldCharType="begin"/>
            </w:r>
            <w:r>
              <w:instrText xml:space="preserve">PAGEREF _Toc8 \h</w:instrText>
            </w:r>
            <w:r>
              <w:fldChar w:fldCharType="separate"/>
            </w:r>
            <w:r>
              <w:t xml:space="preserve">16</w:t>
            </w:r>
            <w:r>
              <w:fldChar w:fldCharType="end"/>
            </w:r>
          </w:hyperlink>
          <w:r/>
          <w:r>
            <w:rPr>
              <w:rFonts w:cs="Times New Roman"/>
            </w:rPr>
          </w:r>
        </w:p>
        <w:p>
          <w:pPr>
            <w:pStyle w:val="935"/>
            <w:tabs>
              <w:tab w:val="right" w:pos="9921" w:leader="dot"/>
            </w:tabs>
            <w:rPr>
              <w:iCs/>
              <w:caps/>
              <w:highlight w:val="white"/>
            </w:rPr>
          </w:pPr>
          <w:r/>
          <w:hyperlink w:tooltip="#_Toc9" w:anchor="_Toc9" w:history="1">
            <w:r>
              <w:rPr>
                <w:rStyle w:val="867"/>
                <w:iCs/>
                <w:highlight w:val="white"/>
              </w:rPr>
              <w:t xml:space="preserve">5. Приложения</w:t>
            </w:r>
            <w:r>
              <w:tab/>
            </w:r>
            <w:r>
              <w:fldChar w:fldCharType="begin"/>
            </w:r>
            <w:r>
              <w:instrText xml:space="preserve">PAGEREF _Toc9 \h</w:instrText>
            </w:r>
            <w:r>
              <w:fldChar w:fldCharType="separate"/>
            </w:r>
            <w:r>
              <w:t xml:space="preserve">17</w:t>
            </w:r>
            <w:r>
              <w:fldChar w:fldCharType="end"/>
            </w:r>
          </w:hyperlink>
          <w:r/>
          <w:r>
            <w:rPr>
              <w:iCs/>
              <w:caps/>
              <w:highlight w:val="white"/>
            </w:rPr>
          </w:r>
        </w:p>
        <w:p>
          <w:pPr>
            <w:pStyle w:val="935"/>
            <w:tabs>
              <w:tab w:val="right" w:pos="9921" w:leader="dot"/>
            </w:tabs>
          </w:pPr>
          <w:r>
            <w:rPr>
              <w:rStyle w:val="908"/>
            </w:rPr>
            <w:fldChar w:fldCharType="end"/>
          </w:r>
          <w:r/>
        </w:p>
      </w:sdtContent>
    </w:sdt>
    <w:p>
      <w:pPr>
        <w:pStyle w:val="833"/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32"/>
        <w:ind w:left="357" w:hanging="357"/>
        <w:jc w:val="center"/>
        <w:keepLines/>
        <w:rPr>
          <w:caps/>
          <w:sz w:val="24"/>
          <w:szCs w:val="24"/>
        </w:rPr>
      </w:pPr>
      <w:r/>
      <w:bookmarkStart w:id="0" w:name="__RefHeading___Toc2986_2038756205"/>
      <w:r/>
      <w:bookmarkStart w:id="1" w:name="_Toc1"/>
      <w:r/>
      <w:bookmarkEnd w:id="0"/>
      <w:r>
        <w:rPr>
          <w:sz w:val="24"/>
          <w:szCs w:val="24"/>
        </w:rPr>
        <w:t xml:space="preserve">Общие сведения</w:t>
      </w:r>
      <w:bookmarkEnd w:id="1"/>
      <w:r/>
      <w:r>
        <w:rPr>
          <w:caps/>
          <w:sz w:val="24"/>
          <w:szCs w:val="24"/>
        </w:rPr>
      </w:r>
    </w:p>
    <w:p>
      <w:pPr>
        <w:pStyle w:val="835"/>
      </w:pPr>
      <w:r>
        <w:t xml:space="preserve">Наименование закупаемой продукции</w:t>
      </w:r>
      <w:r/>
    </w:p>
    <w:p>
      <w:pPr>
        <w:pStyle w:val="835"/>
        <w:numPr>
          <w:ilvl w:val="0"/>
          <w:numId w:val="0"/>
        </w:numPr>
        <w:ind w:firstLine="567"/>
        <w:jc w:val="both"/>
        <w:rPr>
          <w:b w:val="0"/>
          <w:bCs w:val="0"/>
        </w:rPr>
      </w:pPr>
      <w:r>
        <w:rPr>
          <w:b w:val="0"/>
          <w:bCs w:val="0"/>
        </w:rPr>
        <w:t xml:space="preserve">ОКПД2 33.12.15 Выполнение работ по ремонту подъемно-транспортного оборудования и подкрановых путей  СП «ТЭЦ Восточная», г. Владивосток</w:t>
      </w:r>
      <w:r>
        <w:rPr>
          <w:b w:val="0"/>
          <w:bCs w:val="0"/>
        </w:rPr>
      </w:r>
    </w:p>
    <w:p>
      <w:pPr>
        <w:pStyle w:val="835"/>
        <w:rPr>
          <w:bCs w:val="0"/>
        </w:rPr>
      </w:pPr>
      <w:r>
        <w:t xml:space="preserve">Цель выполнения работ</w:t>
      </w:r>
      <w:r>
        <w:rPr>
          <w:bCs w:val="0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Повышение надёжности, устранение физического износа, поддержание и улучшение эксплуатационных свойств без изменения функции и технико-экономических показателей </w:t>
      </w:r>
      <w:r>
        <w:rPr>
          <w:sz w:val="24"/>
          <w:szCs w:val="24"/>
        </w:rPr>
        <w:t xml:space="preserve">подъемно-транспортного оборудования и подкрановых путей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835"/>
        <w:rPr>
          <w:bCs w:val="0"/>
        </w:rPr>
      </w:pPr>
      <w:r>
        <w:t xml:space="preserve">Существующее положение</w:t>
      </w:r>
      <w:r>
        <w:rPr>
          <w:bCs w:val="0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ТЭЦ Восточная – </w:t>
      </w:r>
      <w:r>
        <w:rPr>
          <w:sz w:val="24"/>
          <w:szCs w:val="24"/>
        </w:rPr>
        <w:t xml:space="preserve">структурное подразделение АО «Дальневосточная генерирующая компания» (АО «ДГК»), входящее в Группу РусГидро, действует на территории г. Владивосток. Основные виды деятельности – производство электрической и тепловой энергии, транспортировка и реализация те</w:t>
      </w:r>
      <w:r>
        <w:rPr>
          <w:sz w:val="24"/>
          <w:szCs w:val="24"/>
        </w:rPr>
        <w:t xml:space="preserve">пловой энергии населению и юридическим лицам.</w:t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ТЭЦ Восточная представляет собой тепловую электростанцию с комбинированной выработкой электроэнергии и тепла. </w:t>
      </w:r>
      <w:r>
        <w:rPr>
          <w:sz w:val="24"/>
          <w:szCs w:val="24"/>
        </w:rPr>
      </w:r>
    </w:p>
    <w:p>
      <w:pPr>
        <w:pStyle w:val="832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" w:name="__RefHeading___Toc2988_2038756205"/>
      <w:r/>
      <w:bookmarkStart w:id="3" w:name="_Toc2"/>
      <w:r/>
      <w:bookmarkEnd w:id="2"/>
      <w:r>
        <w:rPr>
          <w:sz w:val="24"/>
          <w:szCs w:val="24"/>
        </w:rPr>
        <w:t xml:space="preserve">Таблица 1. Перечень объектов заказчика</w:t>
      </w:r>
      <w:bookmarkEnd w:id="3"/>
      <w:r/>
      <w:r>
        <w:rPr>
          <w:sz w:val="24"/>
          <w:szCs w:val="24"/>
        </w:rPr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817"/>
        <w:gridCol w:w="2725"/>
        <w:gridCol w:w="2127"/>
        <w:gridCol w:w="2692"/>
        <w:gridCol w:w="155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объекта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sz w:val="24"/>
                <w:szCs w:val="24"/>
              </w:rPr>
              <w:t xml:space="preserve">(место про</w:t>
            </w:r>
            <w:r>
              <w:rPr>
                <w:sz w:val="24"/>
                <w:szCs w:val="24"/>
              </w:rPr>
              <w:t xml:space="preserve">изводства работ) 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5" w:type="dxa"/>
            <w:textDirection w:val="lrTb"/>
            <w:noWrap w:val="false"/>
          </w:tcPr>
          <w:p>
            <w:pPr>
              <w:jc w:val="center"/>
              <w:widowControl w:val="off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jc w:val="center"/>
              <w:widowControl w:val="off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textDirection w:val="lrTb"/>
            <w:noWrap w:val="false"/>
          </w:tcPr>
          <w:p>
            <w:pPr>
              <w:jc w:val="center"/>
              <w:widowControl w:val="off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Cs/>
              </w:rPr>
            </w:r>
          </w:p>
        </w:tc>
      </w:tr>
      <w:tr>
        <w:tblPrEx/>
        <w:trPr>
          <w:trHeight w:val="1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951"/>
              <w:numPr>
                <w:ilvl w:val="0"/>
                <w:numId w:val="9"/>
              </w:numPr>
              <w:jc w:val="center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5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tabs>
                <w:tab w:val="left" w:pos="4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ОКПД2 33.12.15 Выполнение работ по ремонту подъемно-транспортного оборудования и подкрановых путей  СП «ТЭЦ Восточная», г. Владивосток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rFonts w:eastAsia="Calibri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690074, </w:t>
            </w:r>
            <w:r>
              <w:rPr>
                <w:rFonts w:eastAsia="Calibri"/>
              </w:rPr>
            </w:r>
          </w:p>
          <w:p>
            <w:pPr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«ТЭЦ Восточная» АО «ДГК»,   </w:t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г. Владивосток, ул. Снеговая, 22</w:t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425" w:leader="none"/>
              </w:tabs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Кран мостовой подвесной электрический двухпролетны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й ПВК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widowControl w:val="off"/>
              <w:tabs>
                <w:tab w:val="left" w:pos="425" w:leader="none"/>
              </w:tabs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 осях А-Д/1-11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widowControl w:val="off"/>
              <w:tabs>
                <w:tab w:val="left" w:pos="425" w:leader="none"/>
              </w:tabs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отм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. +16,780,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Инв. №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ПГ000000000000003885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</w:tr>
      <w:tr>
        <w:tblPrEx/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951"/>
              <w:numPr>
                <w:ilvl w:val="0"/>
                <w:numId w:val="9"/>
              </w:numPr>
              <w:jc w:val="center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5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widowControl w:val="off"/>
              <w:tabs>
                <w:tab w:val="left" w:pos="425" w:leader="none"/>
              </w:tabs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Кран мостовой подвесной электрический однобалочный ICH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widowControl w:val="off"/>
              <w:tabs>
                <w:tab w:val="left" w:pos="425" w:leader="none"/>
              </w:tabs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 осях А-Д/10-11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widowControl w:val="off"/>
              <w:tabs>
                <w:tab w:val="left" w:pos="425" w:leader="none"/>
              </w:tabs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отм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. +6,190,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Инв. №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ПГ000000000000003892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</w:tr>
      <w:tr>
        <w:tblPrEx/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951"/>
              <w:numPr>
                <w:ilvl w:val="0"/>
                <w:numId w:val="9"/>
              </w:numPr>
              <w:jc w:val="center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5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widowControl w:val="off"/>
              <w:tabs>
                <w:tab w:val="left" w:pos="425" w:leader="none"/>
              </w:tabs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Кран мостовой подвесной электрический однобалочный над КУВ-1,2,3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widowControl w:val="off"/>
              <w:tabs>
                <w:tab w:val="left" w:pos="425" w:leader="none"/>
              </w:tabs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 осях А-В/11-22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widowControl w:val="off"/>
              <w:tabs>
                <w:tab w:val="left" w:pos="42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отм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. +23,350,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Инв. №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ПГ000000000000003894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</w:tr>
      <w:tr>
        <w:tblPrEx/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951"/>
              <w:numPr>
                <w:ilvl w:val="0"/>
                <w:numId w:val="9"/>
              </w:numPr>
              <w:jc w:val="center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5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widowControl w:val="off"/>
              <w:tabs>
                <w:tab w:val="left" w:pos="425" w:leader="none"/>
              </w:tabs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Кран мостовой подвесной электрический однобалочный БВЦ механическая мастерская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widowControl w:val="off"/>
              <w:tabs>
                <w:tab w:val="left" w:pos="42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 осях А-В/5-7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отм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. +6,300,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Инв. №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ПГ000000000000003896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left="0" w:firstLine="0"/>
      </w:pPr>
      <w:r/>
      <w:bookmarkStart w:id="4" w:name="_Hlk49857604"/>
      <w:r>
        <w:t xml:space="preserve">Информация в отношении исполнения договора, </w:t>
      </w:r>
      <w:bookmarkStart w:id="5" w:name="_Hlk46492347"/>
      <w:r>
        <w:t xml:space="preserve">которая должна быть учтена при подготовке заявки </w:t>
      </w:r>
      <w:bookmarkEnd w:id="5"/>
      <w:r>
        <w:t xml:space="preserve">(в том числе перечень ресурсов, услуг и документов, предоставляемых заказчиком на этапе исполнения договора).</w:t>
      </w:r>
      <w:bookmarkEnd w:id="4"/>
      <w:r>
        <w:t xml:space="preserve"> </w:t>
      </w:r>
      <w:r/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1.4.1. После письменного запроса Подрядчика Заказчик предоставляет техническую и иную документац</w:t>
      </w:r>
      <w:r>
        <w:rPr>
          <w:sz w:val="24"/>
          <w:szCs w:val="24"/>
        </w:rPr>
        <w:t xml:space="preserve">ию, содержащую исходные данные для выполнения Подрядчиком Работ;</w:t>
      </w:r>
      <w:r>
        <w:rPr>
          <w:sz w:val="24"/>
          <w:szCs w:val="24"/>
        </w:rPr>
      </w:r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1.4.2. 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</w:t>
      </w:r>
      <w:r>
        <w:rPr>
          <w:sz w:val="24"/>
          <w:szCs w:val="24"/>
        </w:rPr>
        <w:t xml:space="preserve">и для целей выполнения Работ по Договору.</w:t>
      </w:r>
      <w:r>
        <w:rPr>
          <w:sz w:val="24"/>
          <w:szCs w:val="24"/>
        </w:rPr>
      </w:r>
    </w:p>
    <w:p>
      <w:pPr>
        <w:pStyle w:val="832"/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6" w:name="__RefHeading___Toc2990_2038756205"/>
      <w:r/>
      <w:bookmarkStart w:id="7" w:name="_Toc3"/>
      <w:r/>
      <w:bookmarkEnd w:id="6"/>
      <w:r>
        <w:rPr>
          <w:iCs/>
          <w:sz w:val="24"/>
          <w:szCs w:val="24"/>
        </w:rPr>
        <w:t xml:space="preserve">Требования к продукции</w:t>
      </w:r>
      <w:bookmarkEnd w:id="7"/>
      <w:r/>
      <w:r>
        <w:rPr>
          <w:iCs/>
          <w:caps/>
          <w:sz w:val="24"/>
          <w:szCs w:val="24"/>
        </w:rPr>
      </w:r>
    </w:p>
    <w:p>
      <w:pPr>
        <w:pStyle w:val="835"/>
      </w:pPr>
      <w:r>
        <w:t xml:space="preserve">Требования к объемам и срокам выполнения работ</w:t>
      </w:r>
      <w:r/>
    </w:p>
    <w:p>
      <w:pPr>
        <w:pStyle w:val="834"/>
        <w:contextualSpacing/>
        <w:ind w:left="709" w:firstLine="11"/>
      </w:pPr>
      <w:r/>
      <w:bookmarkStart w:id="8" w:name="__RefHeading___Toc2992_2038756205"/>
      <w:r/>
      <w:bookmarkStart w:id="9" w:name="_Toc4"/>
      <w:r/>
      <w:bookmarkEnd w:id="8"/>
      <w:r>
        <w:t xml:space="preserve">Требования к видам и объемам работ</w:t>
      </w:r>
      <w:r>
        <w:br/>
        <w:t xml:space="preserve">Таблица 2. Перечень и объем выполняемых работ</w:t>
      </w:r>
      <w:bookmarkEnd w:id="9"/>
      <w:r/>
      <w:r/>
    </w:p>
    <w:tbl>
      <w:tblPr>
        <w:tblW w:w="1009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35"/>
        <w:gridCol w:w="4823"/>
        <w:gridCol w:w="2552"/>
        <w:gridCol w:w="158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3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3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3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3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360"/>
              <w:widowControl w:val="off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ОКПД2 33.12.15 Выполнение работ по ремонту подъемно-транспортного оборудования и подкрановых путей  СП «ТЭЦ Восточная», г. Владивосток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3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соответствии с ведомостью объемов работ (Приложение №1 к настоящим ТТ)</w:t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4"/>
        <w:contextualSpacing/>
        <w:ind w:left="709" w:firstLine="11"/>
      </w:pPr>
      <w:r/>
      <w:bookmarkStart w:id="10" w:name="__RefHeading___Toc2994_2038756205"/>
      <w:r/>
      <w:bookmarkStart w:id="11" w:name="_Toc5"/>
      <w:r/>
      <w:bookmarkEnd w:id="10"/>
      <w:r>
        <w:t xml:space="preserve">Требования к срокам выполнения работ</w:t>
      </w:r>
      <w:r>
        <w:br/>
        <w:t xml:space="preserve"> Таблица </w:t>
      </w:r>
      <w:r>
        <w:t xml:space="preserve">3. </w:t>
      </w:r>
      <w:bookmarkStart w:id="12" w:name="_Hlk50465284"/>
      <w:r>
        <w:t xml:space="preserve">Требования по срокам </w:t>
      </w:r>
      <w:bookmarkEnd w:id="12"/>
      <w:r>
        <w:t xml:space="preserve">выполнения работ</w:t>
      </w:r>
      <w:bookmarkEnd w:id="11"/>
      <w:r/>
      <w:r/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710"/>
        <w:gridCol w:w="3401"/>
        <w:gridCol w:w="2977"/>
        <w:gridCol w:w="2975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966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textDirection w:val="lrTb"/>
            <w:noWrap w:val="false"/>
          </w:tcPr>
          <w:p>
            <w:pPr>
              <w:pStyle w:val="966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24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Выполнение работ по ремонту подъемно-транспортного оборудования и подкрановых путей  СП «ТЭЦ Восточная», г. Владивосток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с даты, следующей за датой заключения Договора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в течение 5 месяцев с даты заключения Договора.</w:t>
            </w:r>
            <w:r/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2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Примечание: Работы по договору выполняются в соответствии с календарным графиком выполнения работ (Приложение № 3 к Проекту договора, который является приложением к Документации о закупке (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). 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На этапе м</w:t>
            </w:r>
            <w:r>
              <w:rPr>
                <w:sz w:val="24"/>
                <w:szCs w:val="24"/>
              </w:rPr>
              <w:t xml:space="preserve">есячного планирования, Заказчик на основании  </w:t>
            </w:r>
            <w:r>
              <w:rPr>
                <w:sz w:val="24"/>
                <w:szCs w:val="24"/>
                <w:highlight w:val="white"/>
              </w:rPr>
              <w:t xml:space="preserve">календарного </w:t>
            </w:r>
            <w:r>
              <w:rPr>
                <w:sz w:val="24"/>
                <w:szCs w:val="24"/>
              </w:rPr>
              <w:t xml:space="preserve">графика </w:t>
            </w:r>
            <w:r>
              <w:rPr>
                <w:sz w:val="24"/>
                <w:szCs w:val="24"/>
                <w:highlight w:val="white"/>
              </w:rPr>
              <w:t xml:space="preserve">(Приложение № 3 к Проекту договора,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</w:rPr>
              <w:t xml:space="preserve"> разрабатывает и предоставляет Подрядчику план работы на предстоящий месяц. </w:t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erReference w:type="default" r:id="rId14"/>
          <w:footerReference w:type="even" r:id="rId15"/>
          <w:footerReference w:type="first" r:id="rId16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1701" w:equalWidth="1"/>
          <w:docGrid w:linePitch="360"/>
          <w:titlePg/>
        </w:sectPr>
      </w:pPr>
      <w:r/>
      <w:r/>
    </w:p>
    <w:p>
      <w:pPr>
        <w:pStyle w:val="835"/>
      </w:pPr>
      <w:r>
        <w:t xml:space="preserve">Требования к качеству работ</w:t>
      </w:r>
      <w:r/>
    </w:p>
    <w:p>
      <w:pPr>
        <w:pStyle w:val="832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3" w:name="__RefHeading___Toc2996_2038756205"/>
      <w:r/>
      <w:bookmarkStart w:id="14" w:name="_Toc6"/>
      <w:r/>
      <w:bookmarkEnd w:id="13"/>
      <w:r>
        <w:rPr>
          <w:sz w:val="24"/>
          <w:szCs w:val="24"/>
        </w:rPr>
        <w:t xml:space="preserve">Таблица 4. Требования к качеству работ: ОКПД2 33.12.15 Выполнение работ по ремонту подъемно-транспортного оборудования и подкрановых путей  СП «ТЭЦ Восточная», г. Владивосток</w:t>
      </w:r>
      <w:bookmarkEnd w:id="14"/>
      <w:r/>
      <w:r>
        <w:rPr>
          <w:sz w:val="24"/>
          <w:szCs w:val="24"/>
        </w:rPr>
      </w:r>
    </w:p>
    <w:tbl>
      <w:tblPr>
        <w:tblStyle w:val="1112"/>
        <w:tblpPr w:horzAnchor="text" w:tblpXSpec="left" w:vertAnchor="text" w:tblpY="1" w:leftFromText="180" w:topFromText="0" w:rightFromText="180" w:bottomFromText="0"/>
        <w:tblW w:w="15024" w:type="dxa"/>
        <w:tblLayout w:type="fixed"/>
        <w:tblLook w:val="04A0" w:firstRow="1" w:lastRow="0" w:firstColumn="1" w:lastColumn="0" w:noHBand="0" w:noVBand="1"/>
      </w:tblPr>
      <w:tblGrid>
        <w:gridCol w:w="850"/>
        <w:gridCol w:w="1759"/>
        <w:gridCol w:w="7312"/>
        <w:gridCol w:w="2551"/>
        <w:gridCol w:w="2552"/>
      </w:tblGrid>
      <w:tr>
        <w:tblPrEx/>
        <w:trPr>
          <w:tblHeader/>
        </w:trPr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ind w:right="-7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3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59"/>
          <w:tblHeader/>
        </w:trPr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31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31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1.1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7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312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sz w:val="24"/>
                <w:szCs w:val="24"/>
              </w:rPr>
            </w:r>
          </w:p>
          <w:p>
            <w:pPr>
              <w:ind w:firstLine="425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СТО 70238424.27.100.006-2008. Ремонт и техобслуживание оборудования, зданий и сооружений электрических</w:t>
            </w:r>
            <w:r>
              <w:rPr>
                <w:sz w:val="24"/>
                <w:szCs w:val="24"/>
                <w:highlight w:val="white"/>
              </w:rPr>
              <w:t xml:space="preserve"> станций и сетей. Условия выполнения работ подрядными организациями. Нормы и требования.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 технической эксплуатации электрических станций и сетей Российской Федерации (утв. Приказом Министерства энергетики РФ от 4 октября 2022 г. № 1070).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 орг</w:t>
            </w:r>
            <w:r>
              <w:rPr>
                <w:sz w:val="24"/>
                <w:szCs w:val="24"/>
                <w:highlight w:val="white"/>
              </w:rPr>
              <w:t xml:space="preserve">анизации технического обслуживания и ремонта объектов электроэнергетики (утв. Приказом Министерства энергетики РФ от 25 октября 2017 г. № 1013).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ГОСТ 34589-2019. Межгосударственный стандарт. Краны грузоподъемные. Краны мостовые и козловые. Общие технически</w:t>
            </w:r>
            <w:r>
              <w:rPr>
                <w:sz w:val="24"/>
                <w:szCs w:val="24"/>
              </w:rPr>
              <w:t xml:space="preserve">е требования (введен в д</w:t>
            </w:r>
            <w:r>
              <w:rPr>
                <w:sz w:val="24"/>
                <w:szCs w:val="24"/>
                <w:highlight w:val="white"/>
              </w:rPr>
              <w:t xml:space="preserve">ействие Приказом Росстандарта от 09 октября 2019 г. № 940-ст).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 9.402-2004. Межгосударственный стандарт. Единая система защиты от коррозии и старения. Покрытия лакокрасочные. Подготовка металлических поверхностей к окрашиванию.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Инструкции завода-изготовителя оборудования, </w:t>
            </w:r>
            <w:r>
              <w:rPr>
                <w:sz w:val="24"/>
                <w:szCs w:val="24"/>
                <w:highlight w:val="white"/>
              </w:rPr>
              <w:t xml:space="preserve">Технические условия, технологические карты, производственные инструкции и </w:t>
            </w: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  <w:highlight w:val="white"/>
              </w:rPr>
              <w:t xml:space="preserve"> проекты производства работ, другие действующие руководящие документы.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В случае, если какой-либо из указанных нормативных документов был</w:t>
            </w:r>
            <w:r>
              <w:rPr>
                <w:sz w:val="24"/>
                <w:szCs w:val="24"/>
              </w:rPr>
              <w:t xml:space="preserve"> отменен в связи с выпуском новой редакции стандарта, то необходимо применять нормативный документ, принятый в его развитие.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</w:t>
            </w:r>
            <w:r>
              <w:rPr>
                <w:i/>
                <w:sz w:val="22"/>
                <w:szCs w:val="22"/>
              </w:rPr>
              <w:t xml:space="preserve">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65"/>
              <w:jc w:val="left"/>
              <w:keepNext w:val="0"/>
              <w:spacing w:before="0"/>
              <w:rPr>
                <w:rFonts w:eastAsia="Times New Roman"/>
                <w:bCs/>
              </w:rPr>
              <w:outlineLvl w:val="2"/>
            </w:pPr>
            <w:r>
              <w:rPr>
                <w:rFonts w:eastAsia="Times New Roman"/>
                <w:bCs/>
              </w:rPr>
            </w:r>
            <w:r>
              <w:rPr>
                <w:rFonts w:eastAsia="Times New Roman"/>
                <w:bCs/>
              </w:rPr>
            </w:r>
          </w:p>
        </w:tc>
        <w:tc>
          <w:tcPr>
            <w:shd w:val="clear" w:color="ffffff" w:fill="ffffff"/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177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1.2.1.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организации процесса выполнения работ: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312" w:type="dxa"/>
            <w:textDirection w:val="lrTb"/>
            <w:noWrap w:val="false"/>
          </w:tcPr>
          <w:p>
            <w:pPr>
              <w:contextualSpacing/>
              <w:ind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Комплекс организационно–технических мероприятий (указан в Положении Об организации и выполнению технического обслуживания  и ремонта оборудования АО «ДГК» 21-002-2019 (приказ АО «ДГК» от 29.11.2019 № 555) Приложение № 5 к настоящим ТТ) выполняемый при подг</w:t>
            </w:r>
            <w:r>
              <w:rPr>
                <w:sz w:val="24"/>
                <w:szCs w:val="24"/>
                <w:highlight w:val="white"/>
              </w:rPr>
              <w:t xml:space="preserve">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отремонтированного оборудования, оптимальное расходование материально-технических и трудовые ресурсов. Подрядчик р</w:t>
            </w:r>
            <w:r>
              <w:rPr>
                <w:sz w:val="24"/>
                <w:szCs w:val="24"/>
                <w:highlight w:val="white"/>
              </w:rPr>
              <w:t xml:space="preserve">азрабатывает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/>
              <w:ind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Изменения объемов работ, предусмотренных ведом</w:t>
            </w:r>
            <w:r>
              <w:rPr>
                <w:sz w:val="24"/>
                <w:szCs w:val="24"/>
                <w:highlight w:val="white"/>
              </w:rPr>
              <w:t xml:space="preserve">остью планируемых работ, оформляются в соответствии с требованиями Положения </w:t>
            </w:r>
            <w:r>
              <w:rPr>
                <w:sz w:val="24"/>
                <w:szCs w:val="24"/>
                <w:highlight w:val="white"/>
              </w:rPr>
              <w:t xml:space="preserve">ТОиР</w:t>
            </w:r>
            <w:r>
              <w:rPr>
                <w:sz w:val="24"/>
                <w:szCs w:val="24"/>
                <w:highlight w:val="white"/>
              </w:rPr>
              <w:t xml:space="preserve"> - Приложение № 5 к настоящим ТТ (ведомостью дополнительных работ по ремонту и протоколом исключения работ из ведомости планируемых работ по ремонту), согласовываются с исполн</w:t>
            </w:r>
            <w:r>
              <w:rPr>
                <w:sz w:val="24"/>
                <w:szCs w:val="24"/>
                <w:highlight w:val="white"/>
              </w:rPr>
              <w:t xml:space="preserve">ителями и утверждаются техническим руководителем структурного подразделения, 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</w:t>
            </w:r>
            <w:r>
              <w:rPr>
                <w:sz w:val="24"/>
                <w:szCs w:val="24"/>
                <w:highlight w:val="white"/>
              </w:rPr>
              <w:t xml:space="preserve">непос</w:t>
            </w:r>
            <w:r>
              <w:rPr>
                <w:sz w:val="24"/>
                <w:szCs w:val="24"/>
                <w:highlight w:val="white"/>
              </w:rPr>
              <w:t xml:space="preserve">редственную эксплуатацию производственного объекта, определяется условиями Договора.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/>
              <w:ind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Заказчик может изменять даты начала и окончания выполнения работ по отдельным объектам в связи с перенесением даты вывода в плановый ремонт основного оборудования находяще</w:t>
            </w:r>
            <w:r>
              <w:rPr>
                <w:sz w:val="24"/>
                <w:szCs w:val="24"/>
                <w:highlight w:val="white"/>
              </w:rPr>
              <w:t xml:space="preserve">гося в управлении диспетчером, письменно известив Подрядчика не позднее, чем за 10 дней до даты начала работ.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/>
              <w:ind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этапе месячного планирования, Заказчик на основании календарного графика выполнения работ </w:t>
            </w:r>
            <w:r>
              <w:rPr>
                <w:sz w:val="24"/>
                <w:szCs w:val="24"/>
                <w:highlight w:val="white"/>
              </w:rPr>
              <w:t xml:space="preserve">(Приложение № 3 к Проекту договора, который является </w:t>
            </w:r>
            <w:r>
              <w:rPr>
                <w:sz w:val="24"/>
                <w:szCs w:val="24"/>
                <w:highlight w:val="white"/>
              </w:rPr>
              <w:t xml:space="preserve">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</w:rPr>
              <w:t xml:space="preserve"> разрабатывает и предоставляет Подрядчику план работы на предстоящий месяц. </w:t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отражает фактические выполненные работы по ремонту оборудования в «Журнале выдачи заданий и учёта выполненных работ подрядных организаций». </w:t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До начала </w:t>
            </w:r>
            <w:r>
              <w:rPr>
                <w:sz w:val="24"/>
                <w:szCs w:val="24"/>
                <w:highlight w:val="white"/>
              </w:rPr>
              <w:t xml:space="preserve">ремонта Подрядчик: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pStyle w:val="951"/>
              <w:numPr>
                <w:ilvl w:val="0"/>
                <w:numId w:val="11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709" w:leader="none"/>
                <w:tab w:val="left" w:pos="1701" w:leader="none"/>
              </w:tabs>
              <w:rPr>
                <w:highlight w:val="white"/>
              </w:rPr>
            </w:pPr>
            <w:r>
              <w:rPr>
                <w:bCs/>
              </w:rPr>
              <w:t xml:space="preserve">предоставляет на согласование Заказчику график выполнения работ, проект производства работ, технологические карты;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1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709" w:leader="none"/>
                <w:tab w:val="left" w:pos="1701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проводит проверку выполнения подготовительных работ в соответствии с планом подготовки к ремонту;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1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709" w:leader="none"/>
                <w:tab w:val="left" w:pos="1701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определяет состав бригад (участков) по ремонту отдельных узлов (систем) оборудования по численности, квалификации и профессиям в соответствии с сетевым график</w:t>
            </w:r>
            <w:r>
              <w:rPr>
                <w:highlight w:val="white"/>
              </w:rPr>
              <w:t xml:space="preserve">ом ремонта. При этом должна быть обеспечена полная занятость рабочих в течение установленных графиком сроков производства работ;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1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709" w:leader="none"/>
                <w:tab w:val="left" w:pos="1701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назначает руководителей работ по ремонту отдельных видов оборудования в соответствии с номенклатурой и объемом работ, принятым </w:t>
            </w:r>
            <w:r>
              <w:rPr>
                <w:highlight w:val="white"/>
              </w:rPr>
              <w:t xml:space="preserve">по договору;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1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709" w:leader="none"/>
                <w:tab w:val="left" w:pos="1701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назначает лиц, ответственных за соблюдение норм и правил в области охраны труда, электробезопасности, обращения с отходами, пожарной и промышленной безопасности и материально–техническое обеспечение; 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1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709" w:leader="none"/>
                <w:tab w:val="left" w:pos="1701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проверяет выполнение требований допуска ре</w:t>
            </w:r>
            <w:r>
              <w:rPr>
                <w:highlight w:val="white"/>
              </w:rPr>
              <w:t xml:space="preserve">монтного и командированного персонала, предусмотренного п. 1.2.2 настоящих ТТ.</w:t>
            </w:r>
            <w:r>
              <w:rPr>
                <w:highlight w:val="white"/>
              </w:rPr>
            </w:r>
          </w:p>
          <w:p>
            <w:pPr>
              <w:contextualSpacing/>
              <w:ind w:firstLine="425"/>
              <w:jc w:val="both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качества применяемых материалов, </w:t>
            </w:r>
            <w:r>
              <w:rPr>
                <w:sz w:val="24"/>
                <w:szCs w:val="24"/>
                <w:highlight w:val="white"/>
              </w:rPr>
              <w:t xml:space="preserve">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Участник должен предостав</w:t>
            </w:r>
            <w:r>
              <w:rPr>
                <w:i/>
                <w:sz w:val="22"/>
                <w:szCs w:val="22"/>
              </w:rPr>
              <w:t xml:space="preserve">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pPr>
              <w:pStyle w:val="965"/>
              <w:jc w:val="left"/>
              <w:keepNext w:val="0"/>
              <w:spacing w:before="0"/>
              <w:rPr>
                <w:rFonts w:eastAsia="Times New Roman"/>
                <w:b w:val="0"/>
                <w:bCs/>
                <w:i/>
              </w:rPr>
              <w:outlineLvl w:val="2"/>
            </w:pPr>
            <w:r>
              <w:rPr>
                <w:rFonts w:eastAsia="Times New Roman"/>
                <w:b w:val="0"/>
                <w:bCs/>
                <w:i/>
              </w:rPr>
            </w:r>
            <w:r>
              <w:rPr>
                <w:rFonts w:eastAsia="Times New Roman"/>
                <w:b w:val="0"/>
                <w:bCs/>
                <w:i/>
              </w:rPr>
            </w:r>
          </w:p>
          <w:p>
            <w:pPr>
              <w:pStyle w:val="965"/>
              <w:jc w:val="left"/>
              <w:keepNext w:val="0"/>
              <w:spacing w:before="0"/>
              <w:rPr>
                <w:rFonts w:eastAsia="Times New Roman"/>
                <w:b w:val="0"/>
                <w:bCs/>
                <w:i/>
              </w:rPr>
              <w:outlineLvl w:val="2"/>
            </w:pPr>
            <w:r>
              <w:rPr>
                <w:rFonts w:eastAsia="Times New Roman"/>
                <w:b w:val="0"/>
                <w:bCs/>
                <w:i/>
              </w:rPr>
            </w:r>
            <w:r>
              <w:rPr>
                <w:rFonts w:eastAsia="Times New Roman"/>
                <w:b w:val="0"/>
                <w:bCs/>
                <w:i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611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1.2.2. 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Организационно-технические мероприятия по допуску персонала подрядчика. 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7312" w:type="dxa"/>
            <w:textDirection w:val="lrTb"/>
            <w:noWrap w:val="false"/>
          </w:tcPr>
          <w:p>
            <w:pPr>
              <w:ind w:firstLine="283"/>
              <w:jc w:val="both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51"/>
              <w:numPr>
                <w:ilvl w:val="0"/>
                <w:numId w:val="8"/>
              </w:numPr>
              <w:ind w:left="0" w:firstLine="360"/>
              <w:jc w:val="both"/>
              <w:shd w:val="clear" w:color="ffffff" w:themeColor="background1" w:fill="ffffff" w:themeFill="background1"/>
            </w:pPr>
            <w:r>
              <w:rPr>
                <w:highlight w:val="white"/>
              </w:rPr>
              <w:t xml:space="preserve">положением о допуске персонала подрядных организаций к выполнению работ на объектах АО «ДГК» №</w:t>
            </w:r>
            <w:r>
              <w:rPr>
                <w:highlight w:val="white"/>
              </w:rPr>
              <w:t xml:space="preserve">22.1-504-2025 (утв. приказом АО «ДГК» №П-ДГК/795 от 25.09.2025г.). Приложение № 5 к настоящим ТТ.</w:t>
            </w:r>
            <w:r/>
          </w:p>
          <w:p>
            <w:pPr>
              <w:pStyle w:val="951"/>
              <w:numPr>
                <w:ilvl w:val="0"/>
                <w:numId w:val="8"/>
              </w:numPr>
              <w:ind w:left="0" w:firstLine="360"/>
              <w:jc w:val="both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инструкцией о пропускном и внутриобъектовом режимах на охраняемой территории СП «ТЭЦ Восточная» АО «ДГК», с обязательным оформлением необходимых нарядов-допус</w:t>
            </w:r>
            <w:r>
              <w:rPr>
                <w:highlight w:val="white"/>
              </w:rPr>
              <w:t xml:space="preserve">ков (утв. приказом ТЭЦ «Восточная» АО «ДГК» №26А от 24.01.2025 г.) Приложение № 5 к настоящим ТТ.</w:t>
            </w:r>
            <w:r>
              <w:rPr>
                <w:highlight w:val="whit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используемым МТР, контролю качества работ и МТР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1.3.1.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используемым материально – техническим ресурсам</w:t>
            </w:r>
            <w:r>
              <w:rPr>
                <w:sz w:val="24"/>
                <w:szCs w:val="24"/>
              </w:rPr>
            </w:r>
          </w:p>
        </w:tc>
        <w:tc>
          <w:tcPr>
            <w:tcW w:w="7312" w:type="dxa"/>
            <w:textDirection w:val="lrTb"/>
            <w:noWrap w:val="false"/>
          </w:tcPr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Материалы, необходимые для выполнения работ приобретаются Подрядчиком в соответствии с Приложением № 4 к настоящим ТТ. </w:t>
            </w:r>
            <w:r>
              <w:rPr>
                <w:sz w:val="24"/>
                <w:szCs w:val="24"/>
              </w:rPr>
            </w:r>
          </w:p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обеспечивают выполнение работ по Договору необходимыми для  этого</w:t>
            </w:r>
            <w:r>
              <w:rPr>
                <w:sz w:val="24"/>
                <w:szCs w:val="24"/>
                <w:highlight w:val="white"/>
              </w:rPr>
              <w:t xml:space="preserve"> материалами и запасными частями. </w:t>
            </w:r>
            <w:r>
              <w:rPr>
                <w:sz w:val="24"/>
                <w:szCs w:val="24"/>
              </w:rPr>
            </w:r>
          </w:p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Приобретаемые материалы и запасные части должны иметь соответствующие сертификаты, технические паспорта и другие документы, удостоверяющие их качество.</w:t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</w:t>
            </w:r>
            <w:r>
              <w:rPr>
                <w:i/>
                <w:sz w:val="22"/>
                <w:szCs w:val="22"/>
              </w:rPr>
              <w:t xml:space="preserve">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/>
          </w:p>
          <w:p>
            <w:r/>
            <w:r/>
          </w:p>
        </w:tc>
        <w:tc>
          <w:tcPr>
            <w:tcW w:w="2552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1.3.2.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контролю качества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7312" w:type="dxa"/>
            <w:textDirection w:val="lrTb"/>
            <w:noWrap w:val="false"/>
          </w:tcPr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 соответствии с законом № 184-ФЗ «О техническом регулировании» Подрядчик принимает на себя добровольное обязательство о соблюдении требований правил, технических условий, ГОСТ, ПЭУ и других нормативных технических документов, действующих на момент заключ</w:t>
            </w:r>
            <w:r>
              <w:rPr>
                <w:sz w:val="24"/>
                <w:szCs w:val="24"/>
                <w:highlight w:val="white"/>
              </w:rPr>
              <w:t xml:space="preserve">ения Договора и добровольное обязательство о выполнении работ с качеством, соответствующим вышеперечисленным документам.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Руководители работ Подрядчика, участвующие в производстве Работ, проводят оперативный контроль качества выполняемых ремонтных работ, п</w:t>
            </w:r>
            <w:r>
              <w:rPr>
                <w:sz w:val="24"/>
                <w:szCs w:val="24"/>
                <w:highlight w:val="white"/>
              </w:rPr>
              <w:t xml:space="preserve">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Заказчик может самостоятельно или с привлечением третьих лиц осуществлять контроль и надзор за</w:t>
            </w:r>
            <w:r>
              <w:rPr>
                <w:sz w:val="24"/>
                <w:szCs w:val="24"/>
                <w:highlight w:val="white"/>
              </w:rPr>
              <w:t xml:space="preserve"> ходом и качеством выполняемых Подрядчиком и Субподрядчиками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</w:t>
            </w:r>
            <w:r>
              <w:rPr>
                <w:sz w:val="24"/>
                <w:szCs w:val="24"/>
                <w:highlight w:val="white"/>
              </w:rPr>
              <w:t xml:space="preserve">енадлежащее выполнение работ.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6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pStyle w:val="951"/>
              <w:ind w:left="0"/>
              <w:rPr>
                <w:i/>
              </w:rPr>
            </w:pPr>
            <w:r>
              <w:rPr>
                <w:b/>
              </w:rPr>
              <w:t xml:space="preserve">Требования к персоналу подрядчика</w:t>
            </w:r>
            <w:r>
              <w:rPr>
                <w:i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82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vAlign w:val="center"/>
            <w:textDirection w:val="lrTb"/>
            <w:noWrap w:val="false"/>
          </w:tcPr>
          <w:p>
            <w:pPr>
              <w:pStyle w:val="951"/>
              <w:ind w:left="0"/>
              <w:jc w:val="both"/>
            </w:pPr>
            <w:r>
              <w:t xml:space="preserve">Общие требования к Подрядчику.</w:t>
            </w:r>
            <w:r/>
          </w:p>
        </w:tc>
        <w:tc>
          <w:tcPr>
            <w:tcW w:w="7312" w:type="dxa"/>
            <w:vAlign w:val="center"/>
            <w:textDirection w:val="lrTb"/>
            <w:noWrap w:val="false"/>
          </w:tcPr>
          <w:p>
            <w:pPr>
              <w:ind w:firstLine="283"/>
              <w:shd w:val="clear" w:color="ffffff" w:themeColor="background1" w:fill="ffffff" w:themeFill="background1"/>
              <w:tabs>
                <w:tab w:val="left" w:pos="283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Квалификация персонала должна соответствовать видам выполняемых работ и располагать: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</w:t>
            </w:r>
            <w:r>
              <w:rPr>
                <w:sz w:val="24"/>
                <w:szCs w:val="24"/>
                <w:highlight w:val="white"/>
              </w:rPr>
              <w:t xml:space="preserve">едерации или привлекаемого по трудовым либо гражданско-правовым договорам, либо планируемого к привлечению, в том числе по договорам субподряда), а именно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tabs>
                <w:tab w:val="left" w:pos="283" w:leader="none"/>
              </w:tabs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должен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 иметь в наличии 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 w:bidi="ru-RU"/>
              </w:rPr>
              <w:t xml:space="preserve">не менее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  3 человек (руководитель, производитель работ и всех членов бригады), прошедших проверку знаний требований охраны труда,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 предусмотренных п. 1.5.4 настоящих Технических требований )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tabs>
                <w:tab w:val="left" w:pos="283" w:leader="none"/>
              </w:tabs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должен иметь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 в наличии 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 w:bidi="ru-RU"/>
              </w:rPr>
              <w:t xml:space="preserve">не менее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  3 человек (руководитель, произв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одитель работ и всех членов бригады) обладающих допуском работ на высоте.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tabs>
                <w:tab w:val="left" w:pos="283" w:leader="none"/>
              </w:tabs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Подтверждается: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tabs>
                <w:tab w:val="left" w:pos="283" w:leader="none"/>
              </w:tabs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а) копиями протокола (-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) проверки знания требований охраны труда обученных лиц, не менее чем на 3 человек, (руководитель, производитель работ и всех членов бригады)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, которые будут непосредственно на объектах выполнять работы по Наряду-допуску.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tabs>
                <w:tab w:val="left" w:pos="283" w:leader="none"/>
              </w:tabs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б) документами, подтверждающие проверку знаний требований охраны труда при работе с инструментом и приспособлениями, обученных лиц не менее чем на 3 человек, (руководитель, про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изводитель работ и всех членов бригады), которые будут непосредственно на объектах выполнять работы по Наряду-допуску.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tabs>
                <w:tab w:val="left" w:pos="283" w:leader="none"/>
              </w:tabs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в) документами, подтверждающие получение профессионального образования (обучении) и (или) о квалификации, подтверждающие наличие допуска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к работе на высоте у производителя и членов бригады (не ниже 2 группы), и руководителя работ (не ниже 3 группы).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</w:t>
            </w:r>
            <w:r>
              <w:rPr>
                <w:i/>
                <w:sz w:val="22"/>
                <w:szCs w:val="22"/>
              </w:rPr>
              <w:t xml:space="preserve">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1.5.1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безопасности выполняемых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312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tabs>
                <w:tab w:val="left" w:pos="1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21 июля 1997 г. № 116-ФЗ «О промышленной безопасности опасных производственных объектов»; 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tabs>
                <w:tab w:val="left" w:pos="1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без</w:t>
            </w:r>
            <w:r>
              <w:rPr>
                <w:sz w:val="24"/>
                <w:szCs w:val="24"/>
              </w:rPr>
              <w:t xml:space="preserve">опасности опасных производственных объектов, на которых используются подъемные сооружения (утв. Приказом Ростехнадзора от 26 ноября 2020 г. № 461 ). 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tabs>
                <w:tab w:val="left" w:pos="14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должен знакомить персонал, направляемый для выполнения работ на объекте Заказчика с Памяткой об </w:t>
            </w:r>
            <w:r>
              <w:rPr>
                <w:sz w:val="24"/>
                <w:szCs w:val="24"/>
                <w:highlight w:val="white"/>
              </w:rPr>
              <w:t xml:space="preserve">обязанности и ответственности работника при выполнении работ, нахождении на территории энергообъекта АО «ДГК» (Приложение № 9 к Проекту договора,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) под роспись. Копию Памятки с ознакомлением работников под роспись, Подрядч</w:t>
            </w:r>
            <w:r>
              <w:rPr>
                <w:sz w:val="24"/>
                <w:szCs w:val="24"/>
                <w:highlight w:val="white"/>
              </w:rPr>
              <w:t xml:space="preserve">ик представляет в службу охраны труда Заказчика перед проведением вводного инструктажа на объекте.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tabs>
                <w:tab w:val="left" w:pos="1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обязан п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ровести инструктаж персонала, задействованного при производстве Работ, обеспечить соблюдение (в том числе указанным персоналом) правил эксп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Участник должен предоставит</w:t>
            </w:r>
            <w:r>
              <w:rPr>
                <w:i/>
                <w:sz w:val="22"/>
                <w:szCs w:val="22"/>
              </w:rPr>
              <w:t xml:space="preserve">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1.5.2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требований к пожарной безопасности</w:t>
            </w:r>
            <w:r>
              <w:rPr>
                <w:sz w:val="24"/>
                <w:szCs w:val="24"/>
              </w:rPr>
            </w:r>
          </w:p>
        </w:tc>
        <w:tc>
          <w:tcPr>
            <w:tcW w:w="7312" w:type="dxa"/>
            <w:textDirection w:val="lrTb"/>
            <w:noWrap w:val="false"/>
          </w:tcPr>
          <w:p>
            <w:pPr>
              <w:ind w:firstLine="283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противопожарного режима</w:t>
            </w:r>
            <w:r>
              <w:rPr>
                <w:sz w:val="24"/>
                <w:szCs w:val="24"/>
              </w:rPr>
              <w:t xml:space="preserve"> в Российской Федерации (утв. Постановлением Правительства РФ от 16.09.2020 № 1479);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shd w:val="clear" w:color="auto" w:fill="ffffff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№123-ФЗ от 22.07.2008 «Технический регламент о требованиях пожарной безопасности»;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shd w:val="clear" w:color="auto" w:fill="ffffff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РД-153-34.0-03.301-00 (ВППБ 01-02-95*) Правила пожарной безопасности для энергетических 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предприятий;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</w:r>
          </w:p>
          <w:p>
            <w:pPr>
              <w:ind w:firstLine="283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 12.1.004-91* Система стандартов безопасности труда. Пожарная безопасность. Общ</w:t>
            </w:r>
            <w:r>
              <w:rPr>
                <w:sz w:val="24"/>
                <w:szCs w:val="24"/>
                <w:highlight w:val="white"/>
              </w:rPr>
              <w:t xml:space="preserve">ие требования.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 выполнении работ дополнительно необходимо соблюдать требования объектовых (производственных) инструкций, пожарные и санитарные нормы, правил</w:t>
            </w:r>
            <w:r>
              <w:rPr>
                <w:sz w:val="24"/>
                <w:szCs w:val="24"/>
              </w:rPr>
              <w:t xml:space="preserve">а охраны труда, действующие на предприятии Заказчика.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Приказом по организации должно быть назначено лицо, ответственное за соблюдение тре</w:t>
            </w:r>
            <w:r>
              <w:rPr>
                <w:sz w:val="24"/>
                <w:szCs w:val="24"/>
                <w:highlight w:val="white"/>
              </w:rPr>
              <w:t xml:space="preserve">бований пожарной безопасности в местах производства работ.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 Место производства работ должно быть оснащено средствами пожаротушения. 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случае, если какой-либо из указанных нормативных</w:t>
            </w:r>
            <w:r>
              <w:rPr>
                <w:sz w:val="24"/>
                <w:szCs w:val="24"/>
              </w:rPr>
              <w:t xml:space="preserve">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1.5.3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Соблюдение </w:t>
            </w:r>
            <w:r>
              <w:rPr>
                <w:rFonts w:eastAsia="Calibri"/>
                <w:sz w:val="24"/>
                <w:szCs w:val="24"/>
                <w:highlight w:val="white"/>
              </w:rPr>
              <w:t xml:space="preserve">требований к охране окружающей среды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tcW w:w="7312" w:type="dxa"/>
            <w:textDirection w:val="lrTb"/>
            <w:noWrap w:val="false"/>
          </w:tcPr>
          <w:p>
            <w:pPr>
              <w:ind w:firstLine="283"/>
              <w:jc w:val="both"/>
              <w:tabs>
                <w:tab w:val="left" w:pos="142" w:leader="none"/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</w:t>
            </w:r>
            <w:r>
              <w:rPr>
                <w:sz w:val="24"/>
                <w:szCs w:val="24"/>
              </w:rPr>
              <w:t xml:space="preserve">и выполнении 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tabs>
                <w:tab w:val="left" w:pos="142" w:leader="none"/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Отходы, строительный мусор должны своевременно вывозиться для дальнейшей утилизации. Место складирование указывается Заказчиком.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tabs>
                <w:tab w:val="left" w:pos="142" w:leader="none"/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tabs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10.01.2002 № 7-ФЗ «Об охране окружа</w:t>
            </w:r>
            <w:r>
              <w:rPr>
                <w:sz w:val="24"/>
                <w:szCs w:val="24"/>
              </w:rPr>
              <w:t xml:space="preserve">ющей среды» (ред. от 02.07.21);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tabs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04.05.1999 № 96-ФЗ «Об охране атмосферного воздуха» (ред. от 11.06.2021);</w:t>
            </w:r>
            <w:r>
              <w:rPr>
                <w:sz w:val="24"/>
                <w:szCs w:val="24"/>
              </w:rPr>
            </w:r>
          </w:p>
          <w:p>
            <w:pPr>
              <w:ind w:firstLine="283"/>
              <w:jc w:val="both"/>
              <w:tabs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Водный кодекс Российской Федерации.</w:t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1.5.4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требований охраны труда</w:t>
            </w:r>
            <w:r>
              <w:rPr>
                <w:sz w:val="24"/>
                <w:szCs w:val="24"/>
              </w:rPr>
            </w:r>
          </w:p>
        </w:tc>
        <w:tc>
          <w:tcPr>
            <w:tcW w:w="7312" w:type="dxa"/>
            <w:textDirection w:val="lrTb"/>
            <w:noWrap w:val="false"/>
          </w:tcPr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276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276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Ознакомить Подрядчика с локальными нормативными акта</w:t>
            </w:r>
            <w:r>
              <w:rPr>
                <w:sz w:val="24"/>
                <w:szCs w:val="24"/>
                <w:highlight w:val="white"/>
              </w:rPr>
              <w:t xml:space="preserve">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276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Организация ремонтной площадки, участков работ и рабочих мест должна обеспечивать безопасность тру</w:t>
            </w:r>
            <w:r>
              <w:rPr>
                <w:sz w:val="24"/>
                <w:szCs w:val="24"/>
                <w:highlight w:val="white"/>
              </w:rPr>
              <w:t xml:space="preserve">да работающих на всех этапах выполнения работ.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276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 выполнении работ на объектах электроэнергетики необходимо применять средства индивидуальной защиты (комплекты) от термических рисков электрической дуги.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425"/>
              <w:jc w:val="both"/>
              <w:shd w:val="clear" w:color="ffffff" w:themeColor="background1" w:fill="ffffff" w:themeFill="background1"/>
              <w:tabs>
                <w:tab w:val="left" w:pos="1276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Меры по соблюдению требований охраны труда при выпо</w:t>
            </w:r>
            <w:r>
              <w:rPr>
                <w:sz w:val="24"/>
                <w:szCs w:val="24"/>
                <w:highlight w:val="white"/>
              </w:rPr>
              <w:t xml:space="preserve">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51"/>
              <w:numPr>
                <w:ilvl w:val="0"/>
                <w:numId w:val="6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Правила по охране труда при работе с инструментом и приспособлениями (утв. приказом Министерства труда от 27.11.</w:t>
            </w:r>
            <w:r>
              <w:rPr>
                <w:highlight w:val="white"/>
              </w:rPr>
              <w:t xml:space="preserve">2020 № 835н);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6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 №887н);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6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Правила при погрузочно-разгрузочных работах и размещении грузов (утв. приказом Министерства труда </w:t>
            </w:r>
            <w:r>
              <w:rPr>
                <w:highlight w:val="white"/>
              </w:rPr>
              <w:t xml:space="preserve">и социальной защиты Российской Федерации от 28.10.2020 №753н);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6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</w:tabs>
              <w:rPr>
                <w:rFonts w:eastAsia="Times New Roman" w:cs="Times New Roman"/>
                <w:highlight w:val="white"/>
              </w:rPr>
            </w:pPr>
            <w:r>
              <w:rPr>
                <w:rFonts w:eastAsia="Times New Roman" w:cs="Times New Roman"/>
                <w:highlight w:val="white"/>
              </w:rPr>
              <w:t xml:space="preserve">Правила по охране труда при работе на высоте (утв. </w:t>
            </w:r>
            <w:r>
              <w:rPr>
                <w:highlight w:val="white"/>
              </w:rPr>
              <w:t xml:space="preserve">приказом Министерства</w:t>
            </w:r>
            <w:r>
              <w:rPr>
                <w:rFonts w:eastAsia="Times New Roman" w:cs="Times New Roman"/>
                <w:highlight w:val="white"/>
              </w:rPr>
              <w:t xml:space="preserve"> труда и социальной защиты Российской Федерации от 16.11.2020  № 782н);</w:t>
            </w:r>
            <w:r>
              <w:rPr>
                <w:rFonts w:eastAsia="Times New Roman" w:cs="Times New Roman"/>
                <w:highlight w:val="white"/>
              </w:rPr>
            </w:r>
          </w:p>
          <w:p>
            <w:pPr>
              <w:pStyle w:val="951"/>
              <w:numPr>
                <w:ilvl w:val="0"/>
                <w:numId w:val="6"/>
              </w:numPr>
              <w:ind w:left="0" w:firstLine="425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</w:tabs>
              <w:rPr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 xml:space="preserve">Р</w:t>
            </w:r>
            <w:r>
              <w:rPr>
                <w:highlight w:val="white"/>
              </w:rPr>
              <w:t xml:space="preserve">Д 34.03.284-96 Инструкция по организации и производству работ повышенной опасности.- в организацию.</w:t>
            </w:r>
            <w:r>
              <w:rPr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31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Состояние объектов ремонта должно соответствовать требованиям нормативно-технической документации в течение гарантийного срока.</w:t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</w:t>
            </w:r>
            <w:r>
              <w:rPr>
                <w:i/>
                <w:sz w:val="22"/>
                <w:szCs w:val="22"/>
              </w:rPr>
              <w:t xml:space="preserve"> форме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2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2.2.1.</w:t>
            </w:r>
            <w:r>
              <w:rPr>
                <w:sz w:val="24"/>
                <w:szCs w:val="24"/>
              </w:rPr>
            </w:r>
          </w:p>
        </w:tc>
        <w:tc>
          <w:tcPr>
            <w:tcW w:w="175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731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порядку приемки результатов работ указаны в Проекте договора подряда </w:t>
            </w:r>
            <w:r>
              <w:rPr>
                <w:i/>
                <w:sz w:val="24"/>
                <w:szCs w:val="24"/>
              </w:rPr>
              <w:t xml:space="preserve">(раздел 4)</w:t>
            </w:r>
            <w:r>
              <w:rPr>
                <w:sz w:val="24"/>
                <w:szCs w:val="24"/>
                <w:highlight w:val="white"/>
              </w:rPr>
              <w:t xml:space="preserve">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2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оформлению документации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177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"/>
                <w:szCs w:val="2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оформлению документации. Подрядчик обязан Представить Заказчику с актами выполненных работ (в 3 (трёх) экземплярах, а также электронные версии ежемесячных актов освидетельствования выполненных работ, Акта КС-2 и Справки КС-3 в формате *</w:t>
            </w:r>
            <w:r>
              <w:rPr>
                <w:sz w:val="24"/>
                <w:szCs w:val="24"/>
                <w:highlight w:val="white"/>
              </w:rPr>
              <w:t xml:space="preserve">gsfx</w:t>
            </w:r>
            <w:r>
              <w:rPr>
                <w:sz w:val="24"/>
                <w:szCs w:val="24"/>
                <w:highlight w:val="white"/>
              </w:rPr>
              <w:t xml:space="preserve"> ПК</w:t>
            </w:r>
            <w:r>
              <w:rPr>
                <w:sz w:val="24"/>
                <w:szCs w:val="24"/>
                <w:highlight w:val="white"/>
              </w:rPr>
              <w:t xml:space="preserve"> «ГРАНД Смета» на цифровом носителе) исполнительную документацию в электронном виде (в формате *.</w:t>
            </w:r>
            <w:r>
              <w:rPr>
                <w:sz w:val="24"/>
                <w:szCs w:val="24"/>
                <w:highlight w:val="white"/>
              </w:rPr>
              <w:t xml:space="preserve">pdf</w:t>
            </w:r>
            <w:r>
              <w:rPr>
                <w:sz w:val="24"/>
                <w:szCs w:val="24"/>
                <w:highlight w:val="white"/>
              </w:rPr>
              <w:t xml:space="preserve">) и на бумажном носителе в 3-х экземплярах.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не позднее, чем за 2 дня до окончания ремонта представляет Заказчику исполнительную документацию, сос</w:t>
            </w:r>
            <w:r>
              <w:rPr>
                <w:sz w:val="24"/>
                <w:szCs w:val="24"/>
                <w:highlight w:val="white"/>
              </w:rPr>
              <w:t xml:space="preserve">тавленную в процессе ремонта. Перечень исполнительной документации должен утверждаться Заказчиком до начала ремонта.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Исполнительная документация должна быть оформлена в соответствии с: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tabs>
                <w:tab w:val="left" w:pos="992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Исполнительная и приёмо-сдаточная документация состоит, но не ограничивается следующими документами:   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51"/>
              <w:numPr>
                <w:ilvl w:val="0"/>
                <w:numId w:val="10"/>
              </w:numPr>
              <w:ind w:left="0"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  <w:tab w:val="left" w:pos="567" w:leader="none"/>
                <w:tab w:val="left" w:pos="992" w:leader="none"/>
                <w:tab w:val="left" w:pos="1984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</w:t>
            </w:r>
            <w:r>
              <w:rPr>
                <w:highlight w:val="white"/>
              </w:rPr>
              <w:t xml:space="preserve">ации;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0"/>
              </w:numPr>
              <w:ind w:left="0"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  <w:tab w:val="left" w:pos="567" w:leader="none"/>
                <w:tab w:val="left" w:pos="992" w:leader="none"/>
                <w:tab w:val="left" w:pos="1984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0"/>
              </w:numPr>
              <w:ind w:left="0"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  <w:tab w:val="left" w:pos="567" w:leader="none"/>
                <w:tab w:val="left" w:pos="992" w:leader="none"/>
                <w:tab w:val="left" w:pos="1984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счета-фактуры на материалы, закупаемые Подрядчиком для использования в процессе ремонта;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0"/>
              </w:numPr>
              <w:ind w:left="0"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  <w:tab w:val="left" w:pos="567" w:leader="none"/>
                <w:tab w:val="left" w:pos="992" w:leader="none"/>
                <w:tab w:val="left" w:pos="1984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ф</w:t>
            </w:r>
            <w:r>
              <w:rPr>
                <w:highlight w:val="white"/>
              </w:rPr>
              <w:t xml:space="preserve">ормуляры, карты контроля, карты измерений, протоколы и иные документы, характеризующие (фиксирующие) техническое состояние составных частей оборудования до и после выполнения ремонтных работ и степень соответствия отремонтированных составных частей требова</w:t>
            </w:r>
            <w:r>
              <w:rPr>
                <w:highlight w:val="white"/>
              </w:rPr>
              <w:t xml:space="preserve">ниям нормативно-технической документации;  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0"/>
              </w:numPr>
              <w:ind w:left="0"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  <w:tab w:val="left" w:pos="567" w:leader="none"/>
                <w:tab w:val="left" w:pos="992" w:leader="none"/>
                <w:tab w:val="left" w:pos="1984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результаты входного контроля, сертификаты на использованные в процессе ремонта материалы и запасные части;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0"/>
              </w:numPr>
              <w:ind w:left="0"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  <w:tab w:val="left" w:pos="567" w:leader="none"/>
                <w:tab w:val="left" w:pos="992" w:leader="none"/>
                <w:tab w:val="left" w:pos="1984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табель учета рабочего времени Подрядчика;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0"/>
              </w:numPr>
              <w:ind w:left="0"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  <w:tab w:val="left" w:pos="567" w:leader="none"/>
                <w:tab w:val="left" w:pos="992" w:leader="none"/>
                <w:tab w:val="left" w:pos="1984" w:leader="none"/>
              </w:tabs>
              <w:rPr>
                <w:highlight w:val="white"/>
              </w:rPr>
            </w:pPr>
            <w:r>
              <w:t xml:space="preserve">акт освидетельствования скрытых работ;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0"/>
              </w:numPr>
              <w:ind w:left="0"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  <w:tab w:val="left" w:pos="567" w:leader="none"/>
                <w:tab w:val="left" w:pos="992" w:leader="none"/>
                <w:tab w:val="left" w:pos="1984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акт дефектации оборудова</w:t>
            </w:r>
            <w:r>
              <w:rPr>
                <w:highlight w:val="white"/>
              </w:rPr>
              <w:t xml:space="preserve">ния, акт о выявленных дефектах;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0"/>
              </w:numPr>
              <w:ind w:left="0"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  <w:tab w:val="left" w:pos="567" w:leader="none"/>
                <w:tab w:val="left" w:pos="992" w:leader="none"/>
                <w:tab w:val="left" w:pos="1984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ведомость выполненных работ;</w:t>
            </w:r>
            <w:r>
              <w:rPr>
                <w:highlight w:val="white"/>
              </w:rPr>
            </w:r>
          </w:p>
          <w:p>
            <w:pPr>
              <w:pStyle w:val="951"/>
              <w:numPr>
                <w:ilvl w:val="0"/>
                <w:numId w:val="10"/>
              </w:numPr>
              <w:ind w:left="0" w:firstLine="283"/>
              <w:jc w:val="both"/>
              <w:shd w:val="clear" w:color="ffffff" w:themeColor="background1" w:fill="ffffff" w:themeFill="background1"/>
              <w:tabs>
                <w:tab w:val="left" w:pos="283" w:leader="none"/>
                <w:tab w:val="left" w:pos="567" w:leader="none"/>
                <w:tab w:val="left" w:pos="992" w:leader="none"/>
                <w:tab w:val="left" w:pos="1984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акт на приемку из ремонта оборудования;</w:t>
            </w:r>
            <w:r>
              <w:rPr>
                <w:highlight w:val="white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tabs>
                <w:tab w:val="left" w:pos="992" w:leader="none"/>
                <w:tab w:val="left" w:pos="198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другие документы по усмотрению Сторон с учетом специфики Работ.</w:t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2"/>
        </w:trPr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24"/>
        </w:trPr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Ответственности и гарантиям подрядчика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731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ответственности подрядчика подробно указаны в  Проекте договора подряда (</w:t>
            </w:r>
            <w:r>
              <w:rPr>
                <w:i/>
                <w:sz w:val="24"/>
                <w:szCs w:val="24"/>
                <w:highlight w:val="white"/>
              </w:rPr>
              <w:t xml:space="preserve">раздел 6)</w:t>
            </w:r>
            <w:r>
              <w:rPr>
                <w:sz w:val="24"/>
                <w:szCs w:val="24"/>
                <w:highlight w:val="white"/>
              </w:rPr>
              <w:t xml:space="preserve">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4"/>
        </w:trPr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312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гарантии подрядчик подробно указано в Проекте договора подряда </w:t>
            </w:r>
            <w:r>
              <w:rPr>
                <w:i/>
                <w:sz w:val="24"/>
                <w:szCs w:val="24"/>
                <w:highlight w:val="white"/>
              </w:rPr>
              <w:t xml:space="preserve">(раздел 7)</w:t>
            </w:r>
            <w:r>
              <w:rPr>
                <w:sz w:val="24"/>
                <w:szCs w:val="24"/>
                <w:highlight w:val="white"/>
              </w:rPr>
              <w:t xml:space="preserve">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bCs/>
                <w:i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ind w:left="142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13"/>
        </w:trPr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59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Обязательства Подрядчика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7312" w:type="dxa"/>
            <w:vAlign w:val="center"/>
            <w:textDirection w:val="lrTb"/>
            <w:noWrap w:val="false"/>
          </w:tcPr>
          <w:p>
            <w:pPr>
              <w:jc w:val="both"/>
              <w:rPr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обязательствам подрядчика подробно указаны в Проекте договора подряда  (</w:t>
            </w:r>
            <w:r>
              <w:rPr>
                <w:i/>
                <w:sz w:val="24"/>
                <w:szCs w:val="24"/>
                <w:highlight w:val="white"/>
              </w:rPr>
              <w:t xml:space="preserve">раздел 2), </w:t>
            </w:r>
            <w:r>
              <w:rPr>
                <w:sz w:val="24"/>
                <w:szCs w:val="24"/>
                <w:highlight w:val="white"/>
              </w:rPr>
              <w:t xml:space="preserve">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i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313"/>
        </w:trPr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субподрядным организациям привлекаемым к выполнению работ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5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Порядок привлечения субподрядчиков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731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В случае привлечения к выполнению работ субподрядных организаций, подрядчик обязан письменно согласовать с Заказчиком привлекаемую субподрядную организацию с предоставлением заказчику на </w:t>
            </w:r>
            <w:r>
              <w:rPr>
                <w:iCs/>
                <w:sz w:val="24"/>
                <w:szCs w:val="24"/>
                <w:highlight w:val="white"/>
              </w:rPr>
              <w:t xml:space="preserve">момент согласования договора субподряда документов, подтверждающие со</w:t>
            </w:r>
            <w:r>
              <w:rPr>
                <w:iCs/>
                <w:sz w:val="24"/>
                <w:szCs w:val="24"/>
                <w:highlight w:val="white"/>
              </w:rPr>
              <w:t xml:space="preserve">ответствие их квалификационного уровня, а также готовность и возможность выполнения ими работ, а также документы указанные в п. 2.4.2 </w:t>
            </w:r>
            <w:r>
              <w:rPr>
                <w:sz w:val="24"/>
                <w:szCs w:val="24"/>
                <w:highlight w:val="white"/>
              </w:rPr>
              <w:t xml:space="preserve">Проекта договора подряда,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2"/>
        </w:trPr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Прочие требования к выполняемым работам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5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Прочие требования к выполняемым работам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7312" w:type="dxa"/>
            <w:vAlign w:val="center"/>
            <w:textDirection w:val="lrTb"/>
            <w:noWrap w:val="false"/>
          </w:tcPr>
          <w:p>
            <w:pPr>
              <w:ind w:firstLine="28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Работы выполняются согласно условиям договора подряда.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случае если какой-либо из указанных в настоящих ТТ, ГОСТ или нормативный документ был отменен в связи с выпуском новой редакции стандарта, то Подрядчику необхо</w:t>
            </w:r>
            <w:r>
              <w:rPr>
                <w:sz w:val="24"/>
                <w:szCs w:val="24"/>
                <w:highlight w:val="white"/>
              </w:rPr>
              <w:t xml:space="preserve">димо применять ГОСТ или нормативный документ, принятый в его развитие.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 срыве срока ремонта объекта, в обязательном порядке назначается комиссия и составляется совместный акт Заказчика и Подрядчика с указанием времени перепростоя в ремонте, причины пере</w:t>
            </w:r>
            <w:r>
              <w:rPr>
                <w:sz w:val="24"/>
                <w:szCs w:val="24"/>
                <w:highlight w:val="white"/>
              </w:rPr>
              <w:t xml:space="preserve">простоя и виновности сторон, участвующих в организационно-техническом выполнении ремонта. Отказ или уклонение представителей Подрядчика от участия в составлении двустороннего акта, отказ Подрядчика от подписания в течение 3 рабочих дней двустороннего акта </w:t>
            </w:r>
            <w:r>
              <w:rPr>
                <w:sz w:val="24"/>
                <w:szCs w:val="24"/>
                <w:highlight w:val="white"/>
              </w:rPr>
              <w:t xml:space="preserve">с признанием своей вины или отражением особого мнения рассматривается, как невыполнение договорных обязательств с последующим решением Заказчика о прекращении договорных отношений или применением определенных санкций к Подрядчику, указанных в п.</w:t>
            </w:r>
            <w:r>
              <w:rPr>
                <w:sz w:val="24"/>
                <w:szCs w:val="24"/>
                <w:highlight w:val="white"/>
                <w:shd w:val="clear" w:color="auto" w:fill="ffff00"/>
              </w:rPr>
              <w:t xml:space="preserve">6.3</w:t>
            </w:r>
            <w:r>
              <w:rPr>
                <w:sz w:val="24"/>
                <w:szCs w:val="24"/>
                <w:highlight w:val="white"/>
              </w:rPr>
              <w:t xml:space="preserve">. Проект</w:t>
            </w:r>
            <w:r>
              <w:rPr>
                <w:sz w:val="24"/>
                <w:szCs w:val="24"/>
                <w:highlight w:val="white"/>
              </w:rPr>
              <w:t xml:space="preserve">а договора подряда,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. Заказчик и Подрядчик обязаны совместно разработать программу мероприятий по ликвидации отставания от установленных сроков выполнения работ в минимальный срок.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W w:w="14174" w:type="dxa"/>
            <w:vAlign w:val="center"/>
            <w:textDirection w:val="lrTb"/>
            <w:noWrap w:val="false"/>
          </w:tcPr>
          <w:p>
            <w:pPr>
              <w:rPr>
                <w:rFonts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Требования к победителю</w:t>
            </w:r>
            <w:r>
              <w:rPr>
                <w:rFonts w:cs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W w:w="14174" w:type="dxa"/>
            <w:vAlign w:val="center"/>
            <w:textDirection w:val="lrTb"/>
            <w:noWrap w:val="false"/>
          </w:tcPr>
          <w:p>
            <w:pPr>
              <w:rPr>
                <w:rFonts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Участник, признанный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победителем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 закупочной процедуры, в течение 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u w:val="single"/>
              </w:rPr>
              <w:t xml:space="preserve">5 (пяти) рабочих дней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после размещения протокола подведения итогов закупки на сайте </w:t>
            </w:r>
            <w:hyperlink r:id="rId20" w:tooltip="http://www.zakupki.gov.ru/" w:history="1">
              <w:r>
                <w:rPr>
                  <w:rStyle w:val="867"/>
                  <w:rFonts w:eastAsia="Times New Roman" w:cs="Times New Roman"/>
                  <w:sz w:val="24"/>
                  <w:szCs w:val="24"/>
                  <w:highlight w:val="white"/>
                </w:rPr>
                <w:t xml:space="preserve">www.zakupki.gov.ru</w:t>
              </w:r>
            </w:hyperlink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 (до заключения договора), должен предоставить в адрес Заказчика на электронный адрес </w:t>
            </w:r>
            <w:hyperlink r:id="rId21" w:tooltip="mailto:khalturina-ny@dgk.ru" w:history="1">
              <w:r>
                <w:rPr>
                  <w:rFonts w:eastAsia="Times New Roman" w:cs="Times New Roman"/>
                  <w:sz w:val="24"/>
                  <w:szCs w:val="24"/>
                  <w:highlight w:val="white"/>
                </w:rPr>
                <w:t xml:space="preserve">(</w:t>
              </w:r>
              <w:r>
                <w:rPr>
                  <w:rFonts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s</w:t>
              </w:r>
              <w:r>
                <w:rPr>
                  <w:rFonts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tepan-dv@dgk.ru ,   tereschenko-an@dgk.ru)</w:t>
              </w:r>
            </w:hyperlink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 дополнительные документы.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pStyle w:val="951"/>
              <w:ind w:left="0"/>
              <w:shd w:val="clear" w:color="auto" w:fill="ffffff"/>
              <w:tabs>
                <w:tab w:val="left" w:pos="284" w:leader="none"/>
              </w:tabs>
              <w:rPr>
                <w:rFonts w:cs="Times New Roman"/>
                <w:bCs/>
                <w:highlight w:val="white"/>
              </w:rPr>
            </w:pPr>
            <w:r>
              <w:rPr>
                <w:rFonts w:eastAsia="Times New Roman" w:cs="Times New Roman"/>
                <w:highlight w:val="whit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признается укло</w:t>
            </w:r>
            <w:r>
              <w:rPr>
                <w:rFonts w:eastAsia="Times New Roman" w:cs="Times New Roman"/>
                <w:highlight w:val="white"/>
              </w:rPr>
              <w:t xml:space="preserve">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cs="Times New Roman"/>
                <w:bCs/>
                <w:highlight w:val="white"/>
              </w:rPr>
            </w:r>
          </w:p>
        </w:tc>
      </w:tr>
      <w:tr>
        <w:tblPrEx/>
        <w:trPr>
          <w:trHeight w:val="334"/>
        </w:trPr>
        <w:tc>
          <w:tcPr>
            <w:tcW w:w="85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9071" w:type="dxa"/>
            <w:vAlign w:val="center"/>
            <w:textDirection w:val="lrTb"/>
            <w:noWrap w:val="false"/>
          </w:tcPr>
          <w:p>
            <w:pPr>
              <w:rPr>
                <w:rFonts w:cs="Times New Roman"/>
                <w:b/>
                <w:bCs/>
                <w:sz w:val="24"/>
                <w:szCs w:val="24"/>
                <w:highlight w:val="white"/>
                <w:u w:val="singl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Требования к кадровым ресурсам победителя:</w:t>
            </w:r>
            <w:r>
              <w:rPr>
                <w:rFonts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ind w:right="141"/>
              <w:jc w:val="both"/>
              <w:widowControl w:val="off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1.</w:t>
            </w:r>
            <w:r>
              <w:rPr>
                <w:rFonts w:cs="Times New Roman"/>
                <w:sz w:val="24"/>
                <w:szCs w:val="24"/>
                <w:highlight w:val="white"/>
              </w:rPr>
              <w:tab/>
            </w:r>
            <w:r>
              <w:rPr>
                <w:rFonts w:cs="Times New Roman"/>
                <w:sz w:val="24"/>
                <w:szCs w:val="24"/>
                <w:highlight w:val="white"/>
              </w:rPr>
              <w:t xml:space="preserve">Согласно требования</w:t>
            </w:r>
            <w:r>
              <w:rPr>
                <w:rFonts w:cs="Times New Roman"/>
                <w:sz w:val="24"/>
                <w:szCs w:val="24"/>
                <w:highlight w:val="white"/>
              </w:rPr>
              <w:t xml:space="preserve"> п.92 Постановления правительства Российской федерации от 24.12.2021 г.№2464 «О порядке обучения по охране труда и проверки знаний требований охраны труда»:</w:t>
            </w:r>
            <w:r/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иметь в наличие не менее  3 челове</w:t>
            </w:r>
            <w:r>
              <w:rPr>
                <w:rFonts w:cs="Times New Roman"/>
                <w:sz w:val="24"/>
                <w:szCs w:val="24"/>
                <w:highlight w:val="white"/>
              </w:rPr>
              <w:t xml:space="preserve">к (руководитель, производитель работ и всех членов бригады) документы проверки знаний требований охраны труда включая требования по охране труда при работе  с инструментом и приспособлениями.</w:t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На основании п.13, п. 14, п.15 Правил по охране труда при работе на высоте, утвержденных Министерством труда и социальной защиты Российской Федерации от 16.11.2020  № 782Н иметь в наличии 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 w:bidi="ru-RU"/>
              </w:rPr>
              <w:t xml:space="preserve">не менее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  3 человек (руководитель, производитель работ и всех членов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 бригады) обладающих допуском работ на высоте.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</w:r>
          </w:p>
          <w:p>
            <w:pPr>
              <w:ind w:right="141"/>
              <w:widowControl w:val="off"/>
              <w:rPr>
                <w:rFonts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cs="Times New Roman"/>
                <w:sz w:val="24"/>
                <w:szCs w:val="24"/>
                <w:highlight w:val="white"/>
                <w:lang w:eastAsia="en-US"/>
              </w:rPr>
            </w:r>
          </w:p>
          <w:p>
            <w:pPr>
              <w:ind w:right="141"/>
              <w:widowControl w:val="off"/>
              <w:rPr>
                <w:rFonts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cs="Times New Roman"/>
                <w:sz w:val="24"/>
                <w:szCs w:val="24"/>
                <w:highlight w:val="white"/>
                <w:lang w:eastAsia="en-US"/>
              </w:rPr>
            </w:r>
          </w:p>
          <w:p>
            <w:pPr>
              <w:ind w:right="141"/>
              <w:widowControl w:val="off"/>
              <w:rPr>
                <w:rFonts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cs="Times New Roman"/>
                <w:sz w:val="24"/>
                <w:szCs w:val="24"/>
                <w:highlight w:val="white"/>
                <w:lang w:eastAsia="en-US"/>
              </w:rPr>
            </w:r>
          </w:p>
          <w:p>
            <w:pPr>
              <w:rPr>
                <w:rFonts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103" w:type="dxa"/>
            <w:textDirection w:val="lrTb"/>
            <w:noWrap w:val="false"/>
          </w:tcPr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eastAsia="en-US"/>
              </w:rPr>
              <w:t xml:space="preserve">Подтверждается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: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right="141" w:firstLine="567"/>
              <w:jc w:val="both"/>
              <w:rPr>
                <w:rFonts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1.1 копиями протокола (-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) проверки знания требований охраны труда обученных лиц, не менее чем на 3 человек, (руководитель, производитель работ и всех членов бригады), которые будут непоср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едственно на объектах выполнять работы по Наряду-допуску.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right="141" w:firstLine="567"/>
              <w:jc w:val="both"/>
              <w:rPr>
                <w:rFonts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right="141" w:firstLine="567"/>
              <w:jc w:val="both"/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1.2 документами, подтверждающие проверк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у знаний требований охраны труда при работе с инструментом и приспособлениями, обученных лиц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Наряду-допуску.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right="141" w:firstLine="567"/>
              <w:jc w:val="both"/>
              <w:widowControl w:val="off"/>
              <w:rPr>
                <w:rFonts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right="141"/>
              <w:jc w:val="both"/>
              <w:widowControl w:val="off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2. документами, подтверждающие получение профессионального образования (обучении) и (или) о квалификации, подтверждающие наличие допуска к работе на высоте у производителя и членов бригады (не ниже 2 группы), и руководителя работ (не ниже 3 группы).</w:t>
            </w:r>
            <w:r>
              <w:rPr>
                <w:rFonts w:eastAsia="Times New Roman" w:cs="Times New Roman"/>
                <w:sz w:val="24"/>
                <w:szCs w:val="24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right="141"/>
              <w:jc w:val="both"/>
              <w:widowControl w:val="off"/>
              <w:rPr>
                <w:rFonts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</w:tr>
    </w:tbl>
    <w:p>
      <w:r/>
      <w:r/>
    </w:p>
    <w:p>
      <w:pPr>
        <w:pStyle w:val="832"/>
        <w:ind w:left="0" w:firstLine="65"/>
        <w:pageBreakBefore/>
        <w:rPr>
          <w:rFonts w:eastAsia="Times New Roman" w:cs="Times New Roman"/>
          <w:sz w:val="24"/>
          <w:szCs w:val="24"/>
        </w:rPr>
        <w:sectPr>
          <w:headerReference w:type="default" r:id="rId12"/>
          <w:headerReference w:type="first" r:id="rId13"/>
          <w:footerReference w:type="default" r:id="rId17"/>
          <w:footerReference w:type="first" r:id="rId18"/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1701" w:equalWidth="1"/>
          <w:docGrid w:linePitch="360"/>
          <w:titlePg/>
        </w:sectPr>
      </w:pPr>
      <w:r/>
      <w:bookmarkStart w:id="15" w:name="__RefHeading___Toc2998_2038756205"/>
      <w:r/>
      <w:bookmarkStart w:id="16" w:name="undefined"/>
      <w:r/>
      <w:bookmarkStart w:id="17" w:name="_Toc7"/>
      <w:r/>
      <w:bookmarkEnd w:id="15"/>
      <w:r/>
      <w:r>
        <w:rPr>
          <w:rFonts w:eastAsia="Times New Roman" w:cs="Times New Roman"/>
          <w:sz w:val="24"/>
          <w:szCs w:val="24"/>
        </w:rPr>
      </w:r>
    </w:p>
    <w:p>
      <w:pPr>
        <w:pStyle w:val="832"/>
        <w:ind w:left="0" w:firstLine="65"/>
        <w:pageBreakBefore/>
      </w:pPr>
      <w:r>
        <w:rPr>
          <w:rFonts w:eastAsia="Times New Roman" w:cs="Times New Roman"/>
          <w:sz w:val="24"/>
          <w:szCs w:val="24"/>
        </w:rPr>
        <w:t xml:space="preserve">Требования к документации по ценообразованию на этапе закупки</w:t>
      </w:r>
      <w:bookmarkEnd w:id="16"/>
      <w:r/>
      <w:bookmarkEnd w:id="17"/>
      <w:r/>
      <w:r/>
    </w:p>
    <w:p>
      <w:pPr>
        <w:ind w:firstLine="567"/>
        <w:jc w:val="both"/>
        <w:rPr>
          <w:rFonts w:cs="Times New Roman"/>
          <w:iCs/>
          <w:sz w:val="22"/>
          <w:szCs w:val="22"/>
        </w:rPr>
      </w:pPr>
      <w:r>
        <w:rPr>
          <w:rFonts w:eastAsia="Times New Roman" w:cs="Times New Roman"/>
          <w:iCs/>
          <w:sz w:val="24"/>
          <w:szCs w:val="24"/>
        </w:rPr>
        <w:t xml:space="preserve">3.1). 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</w:t>
      </w:r>
      <w:r>
        <w:rPr>
          <w:rFonts w:eastAsia="Times New Roman" w:cs="Times New Roman"/>
          <w:iCs/>
          <w:sz w:val="24"/>
          <w:szCs w:val="24"/>
        </w:rPr>
        <w:t xml:space="preserve"> указанием понижающего коэффициента).</w:t>
      </w:r>
      <w:r>
        <w:rPr>
          <w:rFonts w:cs="Times New Roman"/>
          <w:iCs/>
          <w:sz w:val="22"/>
          <w:szCs w:val="22"/>
        </w:rPr>
      </w:r>
    </w:p>
    <w:p>
      <w:pPr>
        <w:jc w:val="both"/>
        <w:rPr>
          <w:rFonts w:cs="Times New Roman"/>
          <w:iCs/>
          <w:sz w:val="22"/>
          <w:szCs w:val="22"/>
        </w:rPr>
      </w:pPr>
      <w:r>
        <w:rPr>
          <w:rFonts w:eastAsia="Times New Roman" w:cs="Times New Roman"/>
          <w:iCs/>
          <w:sz w:val="24"/>
          <w:szCs w:val="24"/>
        </w:rPr>
        <w:t xml:space="preserve">Стоимость предложений участников определяется по формуле:</w:t>
      </w:r>
      <w:r>
        <w:rPr>
          <w:rFonts w:cs="Times New Roman"/>
          <w:iCs/>
          <w:sz w:val="22"/>
          <w:szCs w:val="22"/>
        </w:rPr>
      </w:r>
    </w:p>
    <w:p>
      <w:pPr>
        <w:jc w:val="center"/>
        <w:rPr>
          <w:rFonts w:cs="Times New Roman"/>
          <w:iCs/>
          <w:sz w:val="22"/>
          <w:szCs w:val="22"/>
        </w:rPr>
      </w:pPr>
      <w:r>
        <w:rPr>
          <w:rFonts w:eastAsia="Times New Roman" w:cs="Times New Roman"/>
          <w:iCs/>
          <w:sz w:val="24"/>
          <w:szCs w:val="24"/>
        </w:rPr>
        <w:t xml:space="preserve">P=№*k,</w:t>
      </w:r>
      <w:r>
        <w:rPr>
          <w:rFonts w:cs="Times New Roman"/>
          <w:iCs/>
          <w:sz w:val="22"/>
          <w:szCs w:val="22"/>
        </w:rPr>
      </w:r>
    </w:p>
    <w:p>
      <w:pPr>
        <w:ind w:firstLine="567"/>
        <w:jc w:val="both"/>
        <w:rPr>
          <w:rFonts w:cs="Times New Roman"/>
          <w:iCs/>
          <w:sz w:val="22"/>
          <w:szCs w:val="22"/>
        </w:rPr>
      </w:pPr>
      <w:r>
        <w:rPr>
          <w:rFonts w:eastAsia="Times New Roman" w:cs="Times New Roman"/>
          <w:iCs/>
          <w:sz w:val="24"/>
          <w:szCs w:val="24"/>
        </w:rPr>
        <w:t xml:space="preserve">где P – стоимость предложения участника;</w:t>
      </w:r>
      <w:r>
        <w:rPr>
          <w:rFonts w:cs="Times New Roman"/>
          <w:iCs/>
          <w:sz w:val="22"/>
          <w:szCs w:val="22"/>
        </w:rPr>
      </w:r>
    </w:p>
    <w:p>
      <w:pPr>
        <w:ind w:firstLine="567"/>
        <w:jc w:val="both"/>
        <w:rPr>
          <w:rFonts w:cs="Times New Roman"/>
          <w:iCs/>
          <w:sz w:val="22"/>
          <w:szCs w:val="22"/>
        </w:rPr>
      </w:pPr>
      <w:r>
        <w:rPr>
          <w:rFonts w:eastAsia="Times New Roman" w:cs="Times New Roman"/>
          <w:iCs/>
          <w:sz w:val="24"/>
          <w:szCs w:val="24"/>
        </w:rPr>
        <w:t xml:space="preserve">№ – </w:t>
      </w:r>
      <w:r>
        <w:rPr>
          <w:rFonts w:eastAsia="Times New Roman" w:cs="Times New Roman"/>
          <w:iCs/>
          <w:sz w:val="24"/>
          <w:szCs w:val="24"/>
        </w:rPr>
        <w:t xml:space="preserve">начальная (максимальная) цена договора (цена лота), определенная в соответствии со сметной документацией Заказчика), представленной в составе Документации о закупке (Приложение № 2 к ТТ);</w:t>
      </w:r>
      <w:r>
        <w:rPr>
          <w:rFonts w:cs="Times New Roman"/>
          <w:iCs/>
          <w:sz w:val="22"/>
          <w:szCs w:val="22"/>
        </w:rPr>
      </w:r>
    </w:p>
    <w:p>
      <w:pPr>
        <w:ind w:firstLine="567"/>
        <w:jc w:val="both"/>
        <w:rPr>
          <w:rFonts w:cs="Times New Roman"/>
          <w:iCs/>
          <w:sz w:val="22"/>
          <w:szCs w:val="22"/>
        </w:rPr>
      </w:pPr>
      <w:r>
        <w:rPr>
          <w:rFonts w:eastAsia="Times New Roman" w:cs="Times New Roman"/>
          <w:iCs/>
          <w:sz w:val="24"/>
          <w:szCs w:val="24"/>
        </w:rPr>
        <w:t xml:space="preserve">k – понижающий коэффициент, заявленный участником в расчете цены зая</w:t>
      </w:r>
      <w:r>
        <w:rPr>
          <w:rFonts w:eastAsia="Times New Roman" w:cs="Times New Roman"/>
          <w:iCs/>
          <w:sz w:val="24"/>
          <w:szCs w:val="24"/>
        </w:rPr>
        <w:t xml:space="preserve">вки, величину данного коэффициента рекомендуется учитывать с округлением до 7 знаков после запятой.</w:t>
      </w:r>
      <w:r>
        <w:rPr>
          <w:rFonts w:cs="Times New Roman"/>
          <w:iCs/>
          <w:sz w:val="22"/>
          <w:szCs w:val="22"/>
        </w:rPr>
      </w:r>
    </w:p>
    <w:p>
      <w:pPr>
        <w:jc w:val="both"/>
        <w:rPr>
          <w:rFonts w:cs="Times New Roman"/>
          <w:iCs/>
          <w:sz w:val="22"/>
          <w:szCs w:val="22"/>
        </w:rPr>
      </w:pPr>
      <w:r>
        <w:rPr>
          <w:rFonts w:cs="Times New Roman"/>
          <w:iCs/>
          <w:sz w:val="22"/>
          <w:szCs w:val="22"/>
        </w:rPr>
      </w:r>
      <w:r>
        <w:rPr>
          <w:rFonts w:cs="Times New Roman"/>
          <w:iCs/>
          <w:sz w:val="22"/>
          <w:szCs w:val="22"/>
        </w:rPr>
      </w:r>
    </w:p>
    <w:p>
      <w:pPr>
        <w:ind w:firstLine="567"/>
        <w:jc w:val="both"/>
        <w:rPr>
          <w:rFonts w:cs="Times New Roman"/>
          <w:iCs/>
          <w:sz w:val="22"/>
          <w:szCs w:val="22"/>
        </w:rPr>
      </w:pPr>
      <w:r>
        <w:rPr>
          <w:rFonts w:eastAsia="Times New Roman" w:cs="Times New Roman"/>
          <w:iCs/>
          <w:sz w:val="24"/>
          <w:szCs w:val="24"/>
        </w:rPr>
        <w:t xml:space="preserve">3.2). Дополнительные документы по ценообразованию (сметная документация) в состав заявки Участника не включаются.</w:t>
      </w:r>
      <w:r>
        <w:rPr>
          <w:rFonts w:cs="Times New Roman"/>
          <w:iCs/>
          <w:sz w:val="22"/>
          <w:szCs w:val="22"/>
        </w:rPr>
      </w:r>
    </w:p>
    <w:p>
      <w:pPr>
        <w:pStyle w:val="983"/>
        <w:ind w:left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832"/>
        <w:ind w:left="0" w:firstLine="65"/>
        <w:rPr>
          <w:rFonts w:cs="Times New Roman"/>
          <w:sz w:val="22"/>
          <w:szCs w:val="22"/>
        </w:rPr>
      </w:pPr>
      <w:r/>
      <w:bookmarkStart w:id="18" w:name="__RefHeading___Toc3000_2038756205"/>
      <w:r/>
      <w:bookmarkStart w:id="19" w:name="undefined_Копия_1"/>
      <w:r/>
      <w:bookmarkStart w:id="20" w:name="_Toc8"/>
      <w:r/>
      <w:bookmarkEnd w:id="18"/>
      <w:r>
        <w:rPr>
          <w:rFonts w:eastAsia="Times New Roman" w:cs="Times New Roman"/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19"/>
      <w:r/>
      <w:bookmarkEnd w:id="20"/>
      <w:r/>
      <w:r>
        <w:rPr>
          <w:rFonts w:cs="Times New Roman"/>
          <w:sz w:val="22"/>
          <w:szCs w:val="22"/>
        </w:rPr>
      </w:r>
    </w:p>
    <w:p>
      <w:pPr>
        <w:ind w:firstLine="567"/>
        <w:jc w:val="both"/>
        <w:rPr>
          <w:rFonts w:cs="Times New Roman"/>
          <w:sz w:val="22"/>
          <w:szCs w:val="22"/>
          <w:u w:val="single"/>
        </w:rPr>
      </w:pPr>
      <w:r>
        <w:rPr>
          <w:rFonts w:eastAsia="Times New Roman" w:cs="Times New Roman"/>
          <w:sz w:val="24"/>
          <w:szCs w:val="24"/>
          <w:u w:val="single"/>
        </w:rPr>
        <w:t xml:space="preserve">4.1. Требования к составлению сметной документации (при заключении договора):</w:t>
      </w:r>
      <w:r>
        <w:rPr>
          <w:rFonts w:cs="Times New Roman"/>
          <w:sz w:val="22"/>
          <w:szCs w:val="22"/>
          <w:u w:val="single"/>
        </w:rPr>
      </w:r>
    </w:p>
    <w:p>
      <w:pPr>
        <w:ind w:firstLine="567"/>
        <w:jc w:val="both"/>
        <w:rPr>
          <w:rFonts w:cs="Times New Roman"/>
          <w:i/>
          <w:sz w:val="22"/>
          <w:szCs w:val="22"/>
          <w:highlight w:val="white"/>
        </w:rPr>
      </w:pPr>
      <w:r>
        <w:rPr>
          <w:rFonts w:eastAsia="Times New Roman" w:cs="Times New Roman"/>
          <w:sz w:val="24"/>
          <w:szCs w:val="24"/>
        </w:rPr>
        <w:t xml:space="preserve">4.1.1.</w:t>
      </w:r>
      <w:r>
        <w:rPr>
          <w:rFonts w:eastAsia="Times New Roman" w:cs="Times New Roman"/>
          <w:sz w:val="24"/>
          <w:szCs w:val="24"/>
        </w:rPr>
        <w:tab/>
        <w:t xml:space="preserve">Сметная документация разработана заказчиком в рамках определения начальной (максимал</w:t>
      </w:r>
      <w:r>
        <w:rPr>
          <w:rFonts w:eastAsia="Times New Roman" w:cs="Times New Roman"/>
          <w:sz w:val="24"/>
          <w:szCs w:val="24"/>
        </w:rPr>
        <w:t xml:space="preserve">ьной) цены договора в соответствии с требованиями, указанными в приложении № 3 к настоящим</w:t>
      </w:r>
      <w:r>
        <w:rPr>
          <w:rFonts w:eastAsia="Times New Roman" w:cs="Times New Roman"/>
          <w:sz w:val="24"/>
          <w:szCs w:val="24"/>
          <w:highlight w:val="white"/>
        </w:rPr>
        <w:t xml:space="preserve">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</w:t>
      </w:r>
      <w:r>
        <w:rPr>
          <w:rFonts w:eastAsia="Times New Roman" w:cs="Times New Roman"/>
          <w:sz w:val="24"/>
          <w:szCs w:val="24"/>
          <w:highlight w:val="white"/>
        </w:rPr>
        <w:t xml:space="preserve">говор. Понижающий коэффициент начисляется в локальных сметах единым индексом в итогах</w:t>
      </w:r>
      <w:r>
        <w:rPr>
          <w:rFonts w:eastAsia="Times New Roman" w:cs="Times New Roman"/>
          <w:i/>
          <w:sz w:val="24"/>
          <w:szCs w:val="24"/>
          <w:highlight w:val="white"/>
        </w:rPr>
        <w:t xml:space="preserve">.</w:t>
      </w:r>
      <w:r>
        <w:rPr>
          <w:rFonts w:cs="Times New Roman"/>
          <w:i/>
          <w:sz w:val="22"/>
          <w:szCs w:val="22"/>
          <w:highlight w:val="white"/>
        </w:rPr>
      </w:r>
    </w:p>
    <w:p>
      <w:pPr>
        <w:ind w:firstLine="567"/>
        <w:jc w:val="both"/>
        <w:rPr>
          <w:rFonts w:cs="Times New Roman"/>
          <w:sz w:val="22"/>
          <w:szCs w:val="22"/>
          <w:highlight w:val="white"/>
        </w:rPr>
      </w:pPr>
      <w:r>
        <w:rPr>
          <w:rFonts w:eastAsia="Times New Roman" w:cs="Times New Roman"/>
          <w:sz w:val="24"/>
          <w:szCs w:val="24"/>
          <w:highlight w:val="white"/>
        </w:rPr>
        <w:t xml:space="preserve">4.1.2.</w:t>
      </w:r>
      <w:r>
        <w:rPr>
          <w:rFonts w:eastAsia="Times New Roman" w:cs="Times New Roman"/>
          <w:sz w:val="24"/>
          <w:szCs w:val="24"/>
          <w:highlight w:val="white"/>
        </w:rPr>
        <w:tab/>
        <w:t xml:space="preserve">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rFonts w:cs="Times New Roman"/>
          <w:sz w:val="22"/>
          <w:szCs w:val="22"/>
          <w:highlight w:val="white"/>
        </w:rPr>
      </w:r>
    </w:p>
    <w:p>
      <w:pPr>
        <w:ind w:firstLine="567"/>
        <w:jc w:val="both"/>
        <w:rPr>
          <w:rFonts w:cs="Times New Roman"/>
          <w:sz w:val="22"/>
          <w:szCs w:val="22"/>
          <w:highlight w:val="white"/>
          <w:u w:val="single"/>
        </w:rPr>
      </w:pPr>
      <w:r>
        <w:rPr>
          <w:rFonts w:eastAsia="Times New Roman" w:cs="Times New Roman"/>
          <w:sz w:val="24"/>
          <w:szCs w:val="24"/>
          <w:highlight w:val="white"/>
        </w:rPr>
        <w:t xml:space="preserve">4.1.3.</w:t>
      </w:r>
      <w:r>
        <w:rPr>
          <w:rFonts w:eastAsia="Times New Roman" w:cs="Times New Roman"/>
          <w:sz w:val="24"/>
          <w:szCs w:val="24"/>
          <w:highlight w:val="white"/>
        </w:rPr>
        <w:tab/>
        <w:t xml:space="preserve">В сметной документ</w:t>
      </w:r>
      <w:r>
        <w:rPr>
          <w:rFonts w:eastAsia="Times New Roman" w:cs="Times New Roman"/>
          <w:sz w:val="24"/>
          <w:szCs w:val="24"/>
          <w:highlight w:val="white"/>
        </w:rPr>
        <w:t xml:space="preserve">ации предусмотрен резерв средств на непредвиденные работы и затраты в размере 3%.</w:t>
      </w:r>
      <w:r>
        <w:rPr>
          <w:rFonts w:cs="Times New Roman"/>
          <w:sz w:val="22"/>
          <w:szCs w:val="22"/>
          <w:highlight w:val="white"/>
          <w:u w:val="single"/>
        </w:rPr>
      </w:r>
    </w:p>
    <w:p>
      <w:pPr>
        <w:ind w:firstLine="567"/>
        <w:jc w:val="both"/>
        <w:rPr>
          <w:rFonts w:cs="Times New Roman"/>
          <w:sz w:val="22"/>
          <w:szCs w:val="22"/>
          <w:highlight w:val="white"/>
          <w:u w:val="single"/>
        </w:rPr>
      </w:pPr>
      <w:r>
        <w:rPr>
          <w:rFonts w:cs="Times New Roman"/>
          <w:sz w:val="22"/>
          <w:szCs w:val="22"/>
          <w:highlight w:val="white"/>
          <w:u w:val="single"/>
        </w:rPr>
      </w:r>
      <w:r>
        <w:rPr>
          <w:rFonts w:cs="Times New Roman"/>
          <w:sz w:val="22"/>
          <w:szCs w:val="22"/>
          <w:highlight w:val="white"/>
          <w:u w:val="single"/>
        </w:rPr>
      </w:r>
    </w:p>
    <w:p>
      <w:pPr>
        <w:ind w:firstLine="567"/>
        <w:jc w:val="both"/>
        <w:rPr>
          <w:rFonts w:cs="Times New Roman"/>
          <w:sz w:val="22"/>
          <w:szCs w:val="22"/>
          <w:highlight w:val="white"/>
          <w:u w:val="single"/>
        </w:rPr>
      </w:pPr>
      <w:r>
        <w:rPr>
          <w:rFonts w:eastAsia="Times New Roman" w:cs="Times New Roman"/>
          <w:sz w:val="24"/>
          <w:szCs w:val="24"/>
          <w:highlight w:val="white"/>
          <w:u w:val="single"/>
        </w:rPr>
        <w:t xml:space="preserve">4.2.Требования к составлению сметной документации (на этапе исполнения договора):</w:t>
      </w:r>
      <w:r>
        <w:rPr>
          <w:rFonts w:cs="Times New Roman"/>
          <w:sz w:val="22"/>
          <w:szCs w:val="22"/>
          <w:highlight w:val="white"/>
          <w:u w:val="single"/>
        </w:rPr>
      </w:r>
    </w:p>
    <w:p>
      <w:pPr>
        <w:ind w:firstLine="567"/>
        <w:jc w:val="both"/>
        <w:rPr>
          <w:rFonts w:cs="Times New Roman"/>
          <w:sz w:val="22"/>
          <w:szCs w:val="22"/>
          <w:highlight w:val="white"/>
        </w:rPr>
      </w:pPr>
      <w:r>
        <w:rPr>
          <w:rFonts w:eastAsia="Times New Roman" w:cs="Times New Roman"/>
          <w:sz w:val="24"/>
          <w:szCs w:val="24"/>
          <w:highlight w:val="white"/>
        </w:rPr>
        <w:t xml:space="preserve">4.2.1.</w:t>
      </w:r>
      <w:r>
        <w:rPr>
          <w:rFonts w:eastAsia="Times New Roman" w:cs="Times New Roman"/>
          <w:sz w:val="24"/>
          <w:szCs w:val="24"/>
          <w:highlight w:val="white"/>
        </w:rPr>
        <w:tab/>
        <w:t xml:space="preserve">В случае возникновения непредвиденных расходов в рамках реализации договора необходи</w:t>
      </w:r>
      <w:r>
        <w:rPr>
          <w:rFonts w:eastAsia="Times New Roman" w:cs="Times New Roman"/>
          <w:sz w:val="24"/>
          <w:szCs w:val="24"/>
          <w:highlight w:val="white"/>
        </w:rPr>
        <w:t xml:space="preserve">мо составлять и оформлять сметную документацию в обоснование данных затрат в соответствии с требованиями, указанными в приложении № 3 к настоящим Техническим требованиям, с применением понижа</w:t>
      </w:r>
      <w:r>
        <w:rPr>
          <w:rFonts w:eastAsia="Times New Roman" w:cs="Times New Roman"/>
          <w:sz w:val="24"/>
          <w:szCs w:val="24"/>
          <w:highlight w:val="white"/>
        </w:rPr>
        <w:t xml:space="preserve">ющего коэффициента, определённого по результатам конкурентной про</w:t>
      </w:r>
      <w:r>
        <w:rPr>
          <w:rFonts w:eastAsia="Times New Roman" w:cs="Times New Roman"/>
          <w:sz w:val="24"/>
          <w:szCs w:val="24"/>
          <w:highlight w:val="white"/>
        </w:rPr>
        <w:t xml:space="preserve">цедуры (п. 4.1.1).</w:t>
      </w:r>
      <w:r>
        <w:rPr>
          <w:rFonts w:cs="Times New Roman"/>
          <w:sz w:val="22"/>
          <w:szCs w:val="22"/>
          <w:highlight w:val="white"/>
        </w:rPr>
      </w:r>
    </w:p>
    <w:p>
      <w:pPr>
        <w:ind w:firstLine="567"/>
        <w:jc w:val="both"/>
        <w:rPr>
          <w:rFonts w:cs="Times New Roman"/>
          <w:sz w:val="22"/>
          <w:szCs w:val="22"/>
          <w:highlight w:val="white"/>
        </w:rPr>
      </w:pPr>
      <w:r>
        <w:rPr>
          <w:rFonts w:eastAsia="Times New Roman" w:cs="Times New Roman"/>
          <w:bCs/>
          <w:sz w:val="24"/>
          <w:szCs w:val="24"/>
          <w:highlight w:val="white"/>
        </w:rPr>
        <w:t xml:space="preserve">4.2.2.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</w:t>
      </w:r>
      <w:r>
        <w:rPr>
          <w:rFonts w:eastAsia="Times New Roman" w:cs="Times New Roman"/>
          <w:bCs/>
          <w:sz w:val="24"/>
          <w:szCs w:val="24"/>
          <w:highlight w:val="white"/>
        </w:rPr>
        <w:t xml:space="preserve"> не предусматривается.</w:t>
      </w:r>
      <w:r>
        <w:rPr>
          <w:rFonts w:cs="Times New Roman"/>
          <w:sz w:val="22"/>
          <w:szCs w:val="22"/>
          <w:highlight w:val="white"/>
        </w:rPr>
      </w:r>
    </w:p>
    <w:p>
      <w:pPr>
        <w:pStyle w:val="832"/>
        <w:numPr>
          <w:ilvl w:val="0"/>
          <w:numId w:val="0"/>
        </w:numPr>
        <w:ind w:left="357"/>
        <w:jc w:val="center"/>
        <w:keepLines/>
        <w:rPr>
          <w:iCs/>
          <w:caps/>
          <w:sz w:val="24"/>
          <w:szCs w:val="24"/>
          <w:highlight w:val="white"/>
        </w:rPr>
      </w:pPr>
      <w:r/>
      <w:bookmarkStart w:id="21" w:name="__RefHeading___Toc3002_2038756205"/>
      <w:r/>
      <w:bookmarkStart w:id="22" w:name="_Toc9"/>
      <w:r/>
      <w:bookmarkEnd w:id="21"/>
      <w:r>
        <w:rPr>
          <w:iCs/>
          <w:sz w:val="24"/>
          <w:szCs w:val="24"/>
          <w:highlight w:val="white"/>
        </w:rPr>
        <w:t xml:space="preserve">5. Приложения</w:t>
      </w:r>
      <w:bookmarkEnd w:id="22"/>
      <w:r/>
      <w:r>
        <w:rPr>
          <w:iCs/>
          <w:caps/>
          <w:sz w:val="24"/>
          <w:szCs w:val="24"/>
          <w:highlight w:val="white"/>
        </w:rPr>
      </w:r>
    </w:p>
    <w:p>
      <w:pPr>
        <w:pStyle w:val="951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Приложение № 1. Ведомость объемов работ.</w:t>
      </w:r>
      <w:r>
        <w:rPr>
          <w:highlight w:val="white"/>
        </w:rPr>
      </w:r>
    </w:p>
    <w:p>
      <w:pPr>
        <w:pStyle w:val="951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Приложение № 2. Локальный сметный расчет.</w:t>
      </w:r>
      <w:r>
        <w:rPr>
          <w:highlight w:val="white"/>
        </w:rPr>
      </w:r>
    </w:p>
    <w:p>
      <w:pPr>
        <w:pStyle w:val="951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Приложение № 3. Требования к оформлению и составлению документации по ценообразованию.</w:t>
      </w:r>
      <w:r>
        <w:rPr>
          <w:highlight w:val="white"/>
        </w:rPr>
      </w:r>
    </w:p>
    <w:p>
      <w:pPr>
        <w:pStyle w:val="951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Приложение № 4. Ведомость материалов Подрядчика.</w:t>
      </w:r>
      <w:r>
        <w:rPr>
          <w:highlight w:val="white"/>
        </w:rPr>
      </w:r>
    </w:p>
    <w:p>
      <w:pPr>
        <w:pStyle w:val="951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Приложение № 5. ЛНА</w:t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АО «ДГК».</w:t>
      </w:r>
      <w:r>
        <w:rPr>
          <w:highlight w:val="white"/>
        </w:rPr>
      </w:r>
    </w:p>
    <w:p>
      <w:pPr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567" w:right="851" w:bottom="992" w:left="851" w:header="680" w:footer="737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Wingdings">
    <w:panose1 w:val="05010000000000000000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jc w:val="right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042586240"/>
      <w:docPartObj>
        <w:docPartGallery w:val="Page Numbers (Bottom of Page)"/>
        <w:docPartUnique w:val="true"/>
      </w:docPartObj>
      <w:rPr/>
    </w:sdtPr>
    <w:sdtContent>
      <w:p>
        <w:pPr>
          <w:pStyle w:val="92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jc w:val="center"/>
    </w:pPr>
    <w:r/>
    <w:r/>
  </w:p>
  <w:p>
    <w:pPr>
      <w:pStyle w:val="92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jc w:val="center"/>
    </w:pPr>
    <w:r/>
    <w:r/>
  </w:p>
  <w:p>
    <w:pPr>
      <w:pStyle w:val="925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25"/>
                            <w:rPr>
                              <w:rStyle w:val="866"/>
                            </w:rPr>
                          </w:pPr>
                          <w:r>
                            <w:rPr>
                              <w:rStyle w:val="866"/>
                            </w:rPr>
                            <w:fldChar w:fldCharType="begin"/>
                          </w:r>
                          <w:r>
                            <w:rPr>
                              <w:rStyle w:val="866"/>
                            </w:rPr>
                            <w:instrText xml:space="preserve"> PAGE </w:instrText>
                          </w:r>
                          <w:r>
                            <w:rPr>
                              <w:rStyle w:val="866"/>
                            </w:rPr>
                            <w:fldChar w:fldCharType="separate"/>
                          </w:r>
                          <w:r>
                            <w:rPr>
                              <w:rStyle w:val="866"/>
                            </w:rPr>
                            <w:t xml:space="preserve">0</w:t>
                          </w:r>
                          <w:r>
                            <w:rPr>
                              <w:rStyle w:val="866"/>
                            </w:rPr>
                            <w:fldChar w:fldCharType="end"/>
                          </w:r>
                          <w:r>
                            <w:rPr>
                              <w:rStyle w:val="866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25"/>
                      <w:rPr>
                        <w:rStyle w:val="866"/>
                      </w:rPr>
                    </w:pPr>
                    <w:r>
                      <w:rPr>
                        <w:rStyle w:val="866"/>
                      </w:rPr>
                      <w:fldChar w:fldCharType="begin"/>
                    </w:r>
                    <w:r>
                      <w:rPr>
                        <w:rStyle w:val="866"/>
                      </w:rPr>
                      <w:instrText xml:space="preserve"> PAGE </w:instrText>
                    </w:r>
                    <w:r>
                      <w:rPr>
                        <w:rStyle w:val="866"/>
                      </w:rPr>
                      <w:fldChar w:fldCharType="separate"/>
                    </w:r>
                    <w:r>
                      <w:rPr>
                        <w:rStyle w:val="866"/>
                      </w:rPr>
                      <w:t xml:space="preserve">0</w:t>
                    </w:r>
                    <w:r>
                      <w:rPr>
                        <w:rStyle w:val="866"/>
                      </w:rPr>
                      <w:fldChar w:fldCharType="end"/>
                    </w:r>
                    <w:r>
                      <w:rPr>
                        <w:rStyle w:val="86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jc w:val="center"/>
    </w:pPr>
    <w:r/>
    <w:r/>
  </w:p>
  <w:p>
    <w:pPr>
      <w:pStyle w:val="925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1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968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969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972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970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97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832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35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2"/>
        <w:szCs w:val="28"/>
      </w:rPr>
    </w:lvl>
    <w:lvl w:ilvl="2">
      <w:start w:val="1"/>
      <w:numFmt w:val="decimal"/>
      <w:pStyle w:val="834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4"/>
      <w:numFmt w:val="bullet"/>
      <w:pStyle w:val="958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59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57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i/>
        <w:i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975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09" w:hanging="360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bCs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1" w:default="1">
    <w:name w:val="Normal"/>
    <w:qFormat/>
    <w:rPr>
      <w:sz w:val="28"/>
      <w:szCs w:val="28"/>
    </w:rPr>
  </w:style>
  <w:style w:type="paragraph" w:styleId="832">
    <w:name w:val="Heading 1"/>
    <w:basedOn w:val="834"/>
    <w:next w:val="831"/>
    <w:link w:val="873"/>
    <w:qFormat/>
    <w:pPr>
      <w:numPr>
        <w:ilvl w:val="0"/>
      </w:numPr>
      <w:outlineLvl w:val="0"/>
    </w:pPr>
    <w:rPr>
      <w:sz w:val="28"/>
      <w:szCs w:val="28"/>
    </w:rPr>
  </w:style>
  <w:style w:type="paragraph" w:styleId="833">
    <w:name w:val="Heading 2"/>
    <w:basedOn w:val="835"/>
    <w:next w:val="831"/>
    <w:link w:val="874"/>
    <w:qFormat/>
    <w:pPr>
      <w:numPr>
        <w:ilvl w:val="0"/>
        <w:numId w:val="0"/>
      </w:numPr>
      <w:outlineLvl w:val="1"/>
    </w:pPr>
  </w:style>
  <w:style w:type="paragraph" w:styleId="834">
    <w:name w:val="Heading 3"/>
    <w:basedOn w:val="831"/>
    <w:next w:val="831"/>
    <w:link w:val="875"/>
    <w:qFormat/>
    <w:pPr>
      <w:numPr>
        <w:ilvl w:val="2"/>
        <w:numId w:val="5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35">
    <w:name w:val="Heading 4"/>
    <w:basedOn w:val="834"/>
    <w:next w:val="831"/>
    <w:link w:val="876"/>
    <w:qFormat/>
    <w:pPr>
      <w:numPr>
        <w:ilvl w:val="1"/>
      </w:numPr>
      <w:outlineLvl w:val="3"/>
    </w:pPr>
    <w:rPr>
      <w:bCs/>
    </w:rPr>
  </w:style>
  <w:style w:type="paragraph" w:styleId="836">
    <w:name w:val="Heading 5"/>
    <w:basedOn w:val="831"/>
    <w:next w:val="831"/>
    <w:link w:val="87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37">
    <w:name w:val="Heading 6"/>
    <w:basedOn w:val="831"/>
    <w:next w:val="831"/>
    <w:link w:val="87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38">
    <w:name w:val="Heading 7"/>
    <w:basedOn w:val="831"/>
    <w:next w:val="831"/>
    <w:link w:val="87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39">
    <w:name w:val="Heading 8"/>
    <w:basedOn w:val="831"/>
    <w:next w:val="831"/>
    <w:link w:val="87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40">
    <w:name w:val="Heading 9"/>
    <w:basedOn w:val="831"/>
    <w:next w:val="831"/>
    <w:link w:val="87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41" w:default="1">
    <w:name w:val="Default Paragraph Font"/>
    <w:uiPriority w:val="1"/>
    <w:semiHidden/>
    <w:unhideWhenUsed/>
  </w:style>
  <w:style w:type="table" w:styleId="8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3" w:default="1">
    <w:name w:val="No List"/>
    <w:uiPriority w:val="99"/>
    <w:semiHidden/>
    <w:unhideWhenUsed/>
  </w:style>
  <w:style w:type="character" w:styleId="844" w:customStyle="1">
    <w:name w:val="Caption Char"/>
    <w:basedOn w:val="841"/>
    <w:uiPriority w:val="35"/>
    <w:qFormat/>
    <w:rPr>
      <w:b/>
      <w:bCs/>
      <w:color w:val="4472c4" w:themeColor="accent1"/>
      <w:sz w:val="18"/>
      <w:szCs w:val="18"/>
    </w:rPr>
  </w:style>
  <w:style w:type="character" w:styleId="845" w:customStyle="1">
    <w:name w:val="Title Char"/>
    <w:basedOn w:val="841"/>
    <w:uiPriority w:val="10"/>
    <w:qFormat/>
    <w:rPr>
      <w:sz w:val="48"/>
      <w:szCs w:val="48"/>
    </w:rPr>
  </w:style>
  <w:style w:type="character" w:styleId="846" w:customStyle="1">
    <w:name w:val="Heading 1 Char"/>
    <w:basedOn w:val="841"/>
    <w:uiPriority w:val="9"/>
    <w:qFormat/>
    <w:rPr>
      <w:rFonts w:ascii="Arial" w:hAnsi="Arial" w:eastAsia="Arial" w:cs="Arial"/>
      <w:sz w:val="40"/>
      <w:szCs w:val="40"/>
    </w:rPr>
  </w:style>
  <w:style w:type="character" w:styleId="847" w:customStyle="1">
    <w:name w:val="Heading 2 Char"/>
    <w:basedOn w:val="841"/>
    <w:uiPriority w:val="9"/>
    <w:qFormat/>
    <w:rPr>
      <w:rFonts w:ascii="Arial" w:hAnsi="Arial" w:eastAsia="Arial" w:cs="Arial"/>
      <w:sz w:val="34"/>
    </w:rPr>
  </w:style>
  <w:style w:type="character" w:styleId="848" w:customStyle="1">
    <w:name w:val="Heading 3 Char"/>
    <w:basedOn w:val="841"/>
    <w:uiPriority w:val="9"/>
    <w:qFormat/>
    <w:rPr>
      <w:rFonts w:ascii="Arial" w:hAnsi="Arial" w:eastAsia="Arial" w:cs="Arial"/>
      <w:sz w:val="30"/>
      <w:szCs w:val="30"/>
    </w:rPr>
  </w:style>
  <w:style w:type="character" w:styleId="849" w:customStyle="1">
    <w:name w:val="Heading 4 Char"/>
    <w:basedOn w:val="84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50" w:customStyle="1">
    <w:name w:val="Heading 5 Char"/>
    <w:basedOn w:val="84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51" w:customStyle="1">
    <w:name w:val="Heading 6 Char"/>
    <w:basedOn w:val="84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52" w:customStyle="1">
    <w:name w:val="Heading 7 Char"/>
    <w:basedOn w:val="84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53" w:customStyle="1">
    <w:name w:val="Heading 8 Char"/>
    <w:basedOn w:val="84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54" w:customStyle="1">
    <w:name w:val="Heading 9 Char"/>
    <w:basedOn w:val="84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55" w:customStyle="1">
    <w:name w:val="Заголовок Знак"/>
    <w:basedOn w:val="841"/>
    <w:link w:val="910"/>
    <w:uiPriority w:val="10"/>
    <w:qFormat/>
    <w:rPr>
      <w:sz w:val="48"/>
      <w:szCs w:val="48"/>
    </w:rPr>
  </w:style>
  <w:style w:type="character" w:styleId="856" w:customStyle="1">
    <w:name w:val="Subtitle Char"/>
    <w:basedOn w:val="841"/>
    <w:uiPriority w:val="11"/>
    <w:qFormat/>
    <w:rPr>
      <w:sz w:val="24"/>
      <w:szCs w:val="24"/>
    </w:rPr>
  </w:style>
  <w:style w:type="character" w:styleId="857" w:customStyle="1">
    <w:name w:val="Quote Char"/>
    <w:uiPriority w:val="29"/>
    <w:qFormat/>
    <w:rPr>
      <w:i/>
    </w:rPr>
  </w:style>
  <w:style w:type="character" w:styleId="858" w:customStyle="1">
    <w:name w:val="Intense Quote Char"/>
    <w:uiPriority w:val="30"/>
    <w:qFormat/>
    <w:rPr>
      <w:i/>
    </w:rPr>
  </w:style>
  <w:style w:type="character" w:styleId="859" w:customStyle="1">
    <w:name w:val="Header Char"/>
    <w:basedOn w:val="841"/>
    <w:uiPriority w:val="99"/>
    <w:qFormat/>
  </w:style>
  <w:style w:type="character" w:styleId="860" w:customStyle="1">
    <w:name w:val="Footer Char"/>
    <w:basedOn w:val="841"/>
    <w:uiPriority w:val="99"/>
    <w:qFormat/>
  </w:style>
  <w:style w:type="character" w:styleId="861" w:customStyle="1">
    <w:name w:val="Название объекта Знак"/>
    <w:link w:val="913"/>
    <w:uiPriority w:val="99"/>
    <w:qFormat/>
  </w:style>
  <w:style w:type="character" w:styleId="862" w:customStyle="1">
    <w:name w:val="Footnote Text Char"/>
    <w:uiPriority w:val="99"/>
    <w:qFormat/>
    <w:rPr>
      <w:sz w:val="18"/>
    </w:rPr>
  </w:style>
  <w:style w:type="character" w:styleId="863" w:customStyle="1">
    <w:name w:val="Endnote Text Char"/>
    <w:uiPriority w:val="99"/>
    <w:qFormat/>
    <w:rPr>
      <w:sz w:val="20"/>
    </w:rPr>
  </w:style>
  <w:style w:type="character" w:styleId="864" w:customStyle="1">
    <w:name w:val="Символ сноски"/>
    <w:qFormat/>
    <w:rPr>
      <w:vertAlign w:val="superscript"/>
    </w:rPr>
  </w:style>
  <w:style w:type="character" w:styleId="865">
    <w:name w:val="footnote reference"/>
    <w:rPr>
      <w:vertAlign w:val="superscript"/>
    </w:rPr>
  </w:style>
  <w:style w:type="character" w:styleId="866">
    <w:name w:val="page number"/>
    <w:basedOn w:val="841"/>
    <w:qFormat/>
  </w:style>
  <w:style w:type="character" w:styleId="867">
    <w:name w:val="Hyperlink"/>
    <w:uiPriority w:val="99"/>
    <w:rPr>
      <w:color w:val="0000ff"/>
      <w:u w:val="single"/>
    </w:rPr>
  </w:style>
  <w:style w:type="character" w:styleId="868">
    <w:name w:val="annotation reference"/>
    <w:uiPriority w:val="99"/>
    <w:semiHidden/>
    <w:qFormat/>
    <w:rPr>
      <w:sz w:val="16"/>
      <w:szCs w:val="16"/>
    </w:rPr>
  </w:style>
  <w:style w:type="character" w:styleId="869">
    <w:name w:val="Strong"/>
    <w:qFormat/>
    <w:rPr>
      <w:b/>
      <w:bCs/>
    </w:rPr>
  </w:style>
  <w:style w:type="character" w:styleId="870" w:customStyle="1">
    <w:name w:val="Заголовок 6 Знак"/>
    <w:link w:val="837"/>
    <w:uiPriority w:val="9"/>
    <w:qFormat/>
    <w:rPr>
      <w:rFonts w:ascii="Cambria" w:hAnsi="Cambria"/>
      <w:i/>
      <w:iCs/>
      <w:color w:val="243f60"/>
    </w:rPr>
  </w:style>
  <w:style w:type="character" w:styleId="871" w:customStyle="1">
    <w:name w:val="Заголовок 7 Знак"/>
    <w:link w:val="838"/>
    <w:uiPriority w:val="9"/>
    <w:qFormat/>
    <w:rPr>
      <w:rFonts w:ascii="Cambria" w:hAnsi="Cambria"/>
      <w:i/>
      <w:iCs/>
      <w:color w:val="404040"/>
    </w:rPr>
  </w:style>
  <w:style w:type="character" w:styleId="872" w:customStyle="1">
    <w:name w:val="Заголовок 8 Знак"/>
    <w:link w:val="839"/>
    <w:uiPriority w:val="9"/>
    <w:qFormat/>
    <w:rPr>
      <w:rFonts w:ascii="Cambria" w:hAnsi="Cambria"/>
      <w:color w:val="4f81bd"/>
    </w:rPr>
  </w:style>
  <w:style w:type="character" w:styleId="873" w:customStyle="1">
    <w:name w:val="Заголовок 1 Знак"/>
    <w:link w:val="832"/>
    <w:qFormat/>
    <w:rPr>
      <w:rFonts w:eastAsia="Calibri"/>
      <w:b/>
      <w:sz w:val="28"/>
      <w:szCs w:val="28"/>
    </w:rPr>
  </w:style>
  <w:style w:type="character" w:styleId="874" w:customStyle="1">
    <w:name w:val="Заголовок 2 Знак"/>
    <w:link w:val="833"/>
    <w:qFormat/>
    <w:rPr>
      <w:rFonts w:eastAsia="Calibri"/>
      <w:b/>
      <w:bCs/>
      <w:sz w:val="24"/>
      <w:szCs w:val="24"/>
    </w:rPr>
  </w:style>
  <w:style w:type="character" w:styleId="875" w:customStyle="1">
    <w:name w:val="Заголовок 3 Знак"/>
    <w:link w:val="834"/>
    <w:qFormat/>
    <w:rPr>
      <w:rFonts w:eastAsia="Calibri"/>
      <w:b/>
      <w:sz w:val="24"/>
      <w:szCs w:val="24"/>
    </w:rPr>
  </w:style>
  <w:style w:type="character" w:styleId="876" w:customStyle="1">
    <w:name w:val="Заголовок 4 Знак"/>
    <w:link w:val="835"/>
    <w:qFormat/>
    <w:rPr>
      <w:rFonts w:eastAsia="Calibri"/>
      <w:b/>
      <w:bCs/>
      <w:sz w:val="24"/>
      <w:szCs w:val="24"/>
    </w:rPr>
  </w:style>
  <w:style w:type="character" w:styleId="877" w:customStyle="1">
    <w:name w:val="Заголовок 5 Знак"/>
    <w:link w:val="836"/>
    <w:uiPriority w:val="9"/>
    <w:qFormat/>
    <w:rPr>
      <w:b/>
      <w:bCs/>
      <w:i/>
      <w:iCs/>
      <w:sz w:val="26"/>
      <w:szCs w:val="26"/>
    </w:rPr>
  </w:style>
  <w:style w:type="character" w:styleId="878" w:customStyle="1">
    <w:name w:val="Заголовок 9 Знак"/>
    <w:link w:val="840"/>
    <w:uiPriority w:val="9"/>
    <w:qFormat/>
    <w:rPr>
      <w:rFonts w:ascii="Arial" w:hAnsi="Arial" w:cs="Arial"/>
      <w:sz w:val="22"/>
      <w:szCs w:val="22"/>
    </w:rPr>
  </w:style>
  <w:style w:type="character" w:styleId="879" w:customStyle="1">
    <w:name w:val="Название Знак"/>
    <w:link w:val="923"/>
    <w:uiPriority w:val="10"/>
    <w:qFormat/>
    <w:rPr>
      <w:sz w:val="28"/>
    </w:rPr>
  </w:style>
  <w:style w:type="character" w:styleId="880" w:customStyle="1">
    <w:name w:val="Подзаголовок Знак"/>
    <w:link w:val="950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881">
    <w:name w:val="Emphasis"/>
    <w:uiPriority w:val="20"/>
    <w:qFormat/>
    <w:rPr>
      <w:i/>
      <w:iCs/>
    </w:rPr>
  </w:style>
  <w:style w:type="character" w:styleId="882" w:customStyle="1">
    <w:name w:val="Цитата 2 Знак"/>
    <w:link w:val="952"/>
    <w:uiPriority w:val="29"/>
    <w:qFormat/>
    <w:rPr>
      <w:rFonts w:ascii="Calibri" w:hAnsi="Calibri" w:eastAsia="Calibri"/>
      <w:i/>
      <w:iCs/>
      <w:color w:val="000000"/>
    </w:rPr>
  </w:style>
  <w:style w:type="character" w:styleId="883" w:customStyle="1">
    <w:name w:val="Выделенная цитата Знак"/>
    <w:link w:val="953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884">
    <w:name w:val="Subtle Emphasis"/>
    <w:uiPriority w:val="19"/>
    <w:qFormat/>
    <w:rPr>
      <w:i/>
      <w:iCs/>
      <w:color w:val="808080"/>
    </w:rPr>
  </w:style>
  <w:style w:type="character" w:styleId="885">
    <w:name w:val="Intense Emphasis"/>
    <w:uiPriority w:val="21"/>
    <w:qFormat/>
    <w:rPr>
      <w:b/>
      <w:bCs/>
      <w:i/>
      <w:iCs/>
      <w:color w:val="4f81bd"/>
    </w:rPr>
  </w:style>
  <w:style w:type="character" w:styleId="886">
    <w:name w:val="Subtle Reference"/>
    <w:uiPriority w:val="31"/>
    <w:qFormat/>
    <w:rPr>
      <w:smallCaps/>
      <w:color w:val="c0504d"/>
      <w:u w:val="single"/>
    </w:rPr>
  </w:style>
  <w:style w:type="character" w:styleId="88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88">
    <w:name w:val="Book Title"/>
    <w:uiPriority w:val="33"/>
    <w:qFormat/>
    <w:rPr>
      <w:b/>
      <w:bCs/>
      <w:smallCaps/>
      <w:spacing w:val="5"/>
    </w:rPr>
  </w:style>
  <w:style w:type="character" w:styleId="889" w:customStyle="1">
    <w:name w:val="Электронная подпись Знак"/>
    <w:link w:val="955"/>
    <w:uiPriority w:val="99"/>
    <w:qFormat/>
    <w:rPr>
      <w:rFonts w:eastAsia="Calibri"/>
      <w:sz w:val="24"/>
      <w:szCs w:val="24"/>
    </w:rPr>
  </w:style>
  <w:style w:type="character" w:styleId="890" w:customStyle="1">
    <w:name w:val="Подпункт Знак1"/>
    <w:link w:val="933"/>
    <w:qFormat/>
    <w:rPr>
      <w:sz w:val="28"/>
    </w:rPr>
  </w:style>
  <w:style w:type="character" w:styleId="891" w:customStyle="1">
    <w:name w:val="Текст сноски Знак"/>
    <w:link w:val="919"/>
    <w:uiPriority w:val="99"/>
    <w:qFormat/>
  </w:style>
  <w:style w:type="character" w:styleId="892" w:customStyle="1">
    <w:name w:val="Основной текст Знак"/>
    <w:link w:val="911"/>
    <w:qFormat/>
    <w:rPr>
      <w:sz w:val="28"/>
      <w:szCs w:val="28"/>
    </w:rPr>
  </w:style>
  <w:style w:type="character" w:styleId="893" w:customStyle="1">
    <w:name w:val="blk"/>
    <w:qFormat/>
  </w:style>
  <w:style w:type="character" w:styleId="894" w:customStyle="1">
    <w:name w:val="Абзац списка Знак"/>
    <w:link w:val="951"/>
    <w:uiPriority w:val="34"/>
    <w:qFormat/>
    <w:rPr>
      <w:rFonts w:eastAsia="Calibri"/>
      <w:sz w:val="24"/>
      <w:szCs w:val="24"/>
    </w:rPr>
  </w:style>
  <w:style w:type="character" w:styleId="895" w:customStyle="1">
    <w:name w:val="комментарий"/>
    <w:qFormat/>
    <w:rPr>
      <w:b/>
      <w:i/>
      <w:shd w:val="clear" w:color="auto" w:fill="ffff99"/>
    </w:rPr>
  </w:style>
  <w:style w:type="character" w:styleId="896" w:customStyle="1">
    <w:name w:val="Подподпункт Знак"/>
    <w:link w:val="967"/>
    <w:qFormat/>
    <w:rPr>
      <w:sz w:val="26"/>
      <w:szCs w:val="26"/>
    </w:rPr>
  </w:style>
  <w:style w:type="character" w:styleId="897" w:customStyle="1">
    <w:name w:val="УРОВЕНЬ_Абзац_тип3 Знак"/>
    <w:link w:val="971"/>
    <w:qFormat/>
    <w:rPr>
      <w:rFonts w:eastAsia="Calibri"/>
      <w:sz w:val="26"/>
      <w:szCs w:val="28"/>
      <w:lang w:eastAsia="en-US"/>
    </w:rPr>
  </w:style>
  <w:style w:type="character" w:styleId="898" w:customStyle="1">
    <w:name w:val="Верхний колонтитул Знак"/>
    <w:link w:val="925"/>
    <w:uiPriority w:val="99"/>
    <w:qFormat/>
    <w:rPr>
      <w:sz w:val="24"/>
      <w:szCs w:val="24"/>
    </w:rPr>
  </w:style>
  <w:style w:type="character" w:styleId="899" w:customStyle="1">
    <w:name w:val="Текст примечания Знак"/>
    <w:link w:val="941"/>
    <w:semiHidden/>
    <w:qFormat/>
  </w:style>
  <w:style w:type="character" w:styleId="900" w:customStyle="1">
    <w:name w:val="Текст концевой сноски Знак"/>
    <w:basedOn w:val="841"/>
    <w:link w:val="974"/>
    <w:qFormat/>
  </w:style>
  <w:style w:type="character" w:styleId="901" w:customStyle="1">
    <w:name w:val="Символ концевой сноски"/>
    <w:basedOn w:val="841"/>
    <w:qFormat/>
    <w:rPr>
      <w:vertAlign w:val="superscript"/>
    </w:rPr>
  </w:style>
  <w:style w:type="character" w:styleId="902">
    <w:name w:val="endnote reference"/>
    <w:rPr>
      <w:vertAlign w:val="superscript"/>
    </w:rPr>
  </w:style>
  <w:style w:type="character" w:styleId="903" w:customStyle="1">
    <w:name w:val="Пункт2 Знак"/>
    <w:link w:val="934"/>
    <w:qFormat/>
    <w:rPr>
      <w:b/>
      <w:sz w:val="28"/>
    </w:rPr>
  </w:style>
  <w:style w:type="character" w:styleId="904" w:customStyle="1">
    <w:name w:val="УРОВЕНЬ_1. Знак"/>
    <w:link w:val="978"/>
    <w:qFormat/>
    <w:rPr>
      <w:rFonts w:eastAsia="Calibri"/>
      <w:caps/>
      <w:sz w:val="28"/>
      <w:szCs w:val="28"/>
      <w:lang w:eastAsia="en-US"/>
    </w:rPr>
  </w:style>
  <w:style w:type="character" w:styleId="905" w:customStyle="1">
    <w:name w:val="Неразрешенное упоминание1"/>
    <w:basedOn w:val="841"/>
    <w:uiPriority w:val="99"/>
    <w:semiHidden/>
    <w:unhideWhenUsed/>
    <w:qFormat/>
    <w:rPr>
      <w:color w:val="605e5c"/>
      <w:shd w:val="clear" w:color="auto" w:fill="e1dfdd"/>
    </w:rPr>
  </w:style>
  <w:style w:type="character" w:styleId="906" w:customStyle="1">
    <w:name w:val="Основной текст с отступом 3 Знак"/>
    <w:link w:val="930"/>
    <w:uiPriority w:val="99"/>
    <w:qFormat/>
    <w:rPr>
      <w:sz w:val="16"/>
      <w:szCs w:val="16"/>
    </w:rPr>
  </w:style>
  <w:style w:type="character" w:styleId="907" w:customStyle="1">
    <w:name w:val="Нижний колонтитул Знак"/>
    <w:link w:val="927"/>
    <w:uiPriority w:val="99"/>
    <w:qFormat/>
    <w:rPr>
      <w:sz w:val="28"/>
      <w:szCs w:val="28"/>
    </w:rPr>
  </w:style>
  <w:style w:type="character" w:styleId="908" w:customStyle="1">
    <w:name w:val="Ссылка указателя"/>
    <w:qFormat/>
  </w:style>
  <w:style w:type="character" w:styleId="909" w:customStyle="1">
    <w:name w:val="Основной текст (2)_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sz w:val="22"/>
      <w:szCs w:val="22"/>
      <w:lang w:val="ru-RU" w:bidi="ru-RU"/>
    </w:rPr>
  </w:style>
  <w:style w:type="paragraph" w:styleId="910">
    <w:name w:val="Title"/>
    <w:basedOn w:val="831"/>
    <w:next w:val="911"/>
    <w:link w:val="85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11">
    <w:name w:val="Body Text"/>
    <w:basedOn w:val="831"/>
    <w:link w:val="892"/>
    <w:pPr>
      <w:spacing w:after="120"/>
    </w:pPr>
  </w:style>
  <w:style w:type="paragraph" w:styleId="912">
    <w:name w:val="List"/>
    <w:basedOn w:val="911"/>
  </w:style>
  <w:style w:type="paragraph" w:styleId="913">
    <w:name w:val="Caption"/>
    <w:basedOn w:val="831"/>
    <w:next w:val="831"/>
    <w:link w:val="861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14">
    <w:name w:val="index heading"/>
    <w:basedOn w:val="910"/>
  </w:style>
  <w:style w:type="paragraph" w:styleId="915">
    <w:name w:val="table of figures"/>
    <w:basedOn w:val="831"/>
    <w:next w:val="831"/>
    <w:uiPriority w:val="99"/>
    <w:unhideWhenUsed/>
    <w:qFormat/>
  </w:style>
  <w:style w:type="paragraph" w:styleId="916" w:customStyle="1">
    <w:name w:val="Название раздела инструкции"/>
    <w:basedOn w:val="831"/>
    <w:qFormat/>
    <w:pPr>
      <w:jc w:val="center"/>
    </w:pPr>
    <w:rPr>
      <w:b/>
    </w:rPr>
  </w:style>
  <w:style w:type="paragraph" w:styleId="917" w:customStyle="1">
    <w:name w:val="Раздел положения"/>
    <w:basedOn w:val="831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18" w:customStyle="1">
    <w:name w:val="Подраздел раздела положения"/>
    <w:basedOn w:val="831"/>
    <w:qFormat/>
    <w:pPr>
      <w:numPr>
        <w:ilvl w:val="1"/>
        <w:numId w:val="1"/>
      </w:numPr>
      <w:jc w:val="both"/>
      <w:spacing w:before="80" w:after="80"/>
    </w:pPr>
  </w:style>
  <w:style w:type="paragraph" w:styleId="919">
    <w:name w:val="footnote text"/>
    <w:basedOn w:val="831"/>
    <w:link w:val="891"/>
    <w:uiPriority w:val="99"/>
    <w:rPr>
      <w:sz w:val="20"/>
      <w:szCs w:val="20"/>
    </w:rPr>
  </w:style>
  <w:style w:type="paragraph" w:styleId="920" w:customStyle="1">
    <w:name w:val="Шапка 1"/>
    <w:basedOn w:val="831"/>
    <w:qFormat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21" w:customStyle="1">
    <w:name w:val="Шапка 2"/>
    <w:basedOn w:val="831"/>
    <w:qFormat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22" w:customStyle="1">
    <w:name w:val="Шапка 3"/>
    <w:basedOn w:val="831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23" w:customStyle="1">
    <w:name w:val="Название1"/>
    <w:basedOn w:val="831"/>
    <w:link w:val="879"/>
    <w:uiPriority w:val="10"/>
    <w:qFormat/>
    <w:pPr>
      <w:jc w:val="center"/>
    </w:pPr>
    <w:rPr>
      <w:szCs w:val="20"/>
    </w:rPr>
  </w:style>
  <w:style w:type="paragraph" w:styleId="924" w:customStyle="1">
    <w:name w:val="Колонтитул"/>
    <w:basedOn w:val="831"/>
    <w:qFormat/>
  </w:style>
  <w:style w:type="paragraph" w:styleId="925">
    <w:name w:val="Header"/>
    <w:basedOn w:val="831"/>
    <w:link w:val="898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26">
    <w:name w:val="Body Text Indent"/>
    <w:basedOn w:val="831"/>
    <w:pPr>
      <w:ind w:left="360"/>
    </w:pPr>
    <w:rPr>
      <w:sz w:val="24"/>
      <w:szCs w:val="24"/>
    </w:rPr>
  </w:style>
  <w:style w:type="paragraph" w:styleId="927">
    <w:name w:val="Footer"/>
    <w:basedOn w:val="831"/>
    <w:link w:val="907"/>
    <w:uiPriority w:val="99"/>
    <w:pPr>
      <w:tabs>
        <w:tab w:val="center" w:pos="4677" w:leader="none"/>
        <w:tab w:val="right" w:pos="9355" w:leader="none"/>
      </w:tabs>
    </w:pPr>
  </w:style>
  <w:style w:type="paragraph" w:styleId="928">
    <w:name w:val="Body Text Indent 2"/>
    <w:basedOn w:val="831"/>
    <w:qFormat/>
    <w:pPr>
      <w:ind w:left="283"/>
      <w:spacing w:after="120" w:line="480" w:lineRule="auto"/>
    </w:pPr>
  </w:style>
  <w:style w:type="paragraph" w:styleId="929">
    <w:name w:val="Body Text 3"/>
    <w:basedOn w:val="831"/>
    <w:qFormat/>
    <w:pPr>
      <w:spacing w:after="120"/>
    </w:pPr>
    <w:rPr>
      <w:sz w:val="16"/>
      <w:szCs w:val="16"/>
    </w:rPr>
  </w:style>
  <w:style w:type="paragraph" w:styleId="930">
    <w:name w:val="Body Text Indent 3"/>
    <w:basedOn w:val="831"/>
    <w:link w:val="906"/>
    <w:uiPriority w:val="99"/>
    <w:qFormat/>
    <w:pPr>
      <w:ind w:left="283"/>
      <w:spacing w:after="120"/>
    </w:pPr>
    <w:rPr>
      <w:sz w:val="16"/>
      <w:szCs w:val="16"/>
    </w:rPr>
  </w:style>
  <w:style w:type="paragraph" w:styleId="931">
    <w:name w:val="Body Text 2"/>
    <w:basedOn w:val="831"/>
    <w:qFormat/>
    <w:pPr>
      <w:spacing w:after="120" w:line="480" w:lineRule="auto"/>
    </w:pPr>
  </w:style>
  <w:style w:type="paragraph" w:styleId="932">
    <w:name w:val="Block Text"/>
    <w:basedOn w:val="831"/>
    <w:qFormat/>
    <w:pPr>
      <w:ind w:left="-567" w:right="-766"/>
      <w:jc w:val="center"/>
    </w:pPr>
    <w:rPr>
      <w:b/>
      <w:bCs/>
      <w:sz w:val="24"/>
      <w:szCs w:val="20"/>
    </w:rPr>
  </w:style>
  <w:style w:type="paragraph" w:styleId="933" w:customStyle="1">
    <w:name w:val="Подпункт"/>
    <w:basedOn w:val="831"/>
    <w:link w:val="890"/>
    <w:qFormat/>
    <w:pPr>
      <w:ind w:left="1134" w:hanging="1134"/>
      <w:jc w:val="both"/>
      <w:spacing w:line="360" w:lineRule="auto"/>
      <w:tabs>
        <w:tab w:val="left" w:pos="1134" w:leader="none"/>
      </w:tabs>
    </w:pPr>
    <w:rPr>
      <w:szCs w:val="20"/>
    </w:rPr>
  </w:style>
  <w:style w:type="paragraph" w:styleId="934" w:customStyle="1">
    <w:name w:val="Пункт2"/>
    <w:basedOn w:val="831"/>
    <w:link w:val="903"/>
    <w:qFormat/>
    <w:pPr>
      <w:ind w:left="1134" w:hanging="1134"/>
      <w:keepNext/>
      <w:spacing w:before="240" w:after="120"/>
      <w:tabs>
        <w:tab w:val="left" w:pos="1134" w:leader="none"/>
      </w:tabs>
      <w:outlineLvl w:val="2"/>
    </w:pPr>
    <w:rPr>
      <w:b/>
      <w:szCs w:val="20"/>
    </w:rPr>
  </w:style>
  <w:style w:type="paragraph" w:styleId="935">
    <w:name w:val="toc 1"/>
    <w:basedOn w:val="831"/>
    <w:next w:val="831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36">
    <w:name w:val="toc 3"/>
    <w:basedOn w:val="831"/>
    <w:next w:val="831"/>
    <w:uiPriority w:val="39"/>
    <w:pPr>
      <w:ind w:left="280"/>
    </w:pPr>
    <w:rPr>
      <w:rFonts w:cstheme="minorHAnsi"/>
      <w:sz w:val="20"/>
      <w:szCs w:val="20"/>
    </w:rPr>
  </w:style>
  <w:style w:type="paragraph" w:styleId="937" w:customStyle="1">
    <w:name w:val="Раздел регламента"/>
    <w:basedOn w:val="831"/>
    <w:qFormat/>
  </w:style>
  <w:style w:type="paragraph" w:styleId="938" w:customStyle="1">
    <w:name w:val="Приложение к регламенту"/>
    <w:basedOn w:val="831"/>
    <w:qFormat/>
    <w:pPr>
      <w:jc w:val="right"/>
    </w:pPr>
  </w:style>
  <w:style w:type="paragraph" w:styleId="939">
    <w:name w:val="toc 2"/>
    <w:basedOn w:val="831"/>
    <w:next w:val="831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40">
    <w:name w:val="Balloon Text"/>
    <w:basedOn w:val="831"/>
    <w:semiHidden/>
    <w:qFormat/>
    <w:rPr>
      <w:rFonts w:ascii="Tahoma" w:hAnsi="Tahoma" w:cs="Tahoma"/>
      <w:sz w:val="16"/>
      <w:szCs w:val="16"/>
    </w:rPr>
  </w:style>
  <w:style w:type="paragraph" w:styleId="941">
    <w:name w:val="annotation text"/>
    <w:basedOn w:val="831"/>
    <w:link w:val="899"/>
    <w:semiHidden/>
    <w:qFormat/>
    <w:rPr>
      <w:sz w:val="20"/>
      <w:szCs w:val="20"/>
    </w:rPr>
  </w:style>
  <w:style w:type="paragraph" w:styleId="942">
    <w:name w:val="annotation subject"/>
    <w:basedOn w:val="941"/>
    <w:next w:val="941"/>
    <w:semiHidden/>
    <w:qFormat/>
    <w:rPr>
      <w:b/>
      <w:bCs/>
    </w:rPr>
  </w:style>
  <w:style w:type="paragraph" w:styleId="943" w:customStyle="1">
    <w:name w:val="Обычный (веб)1"/>
    <w:basedOn w:val="831"/>
    <w:uiPriority w:val="99"/>
    <w:qFormat/>
    <w:pPr>
      <w:spacing w:beforeAutospacing="1" w:afterAutospacing="1"/>
    </w:pPr>
    <w:rPr>
      <w:rFonts w:ascii="Arial Unicode MS" w:hAnsi="Arial Unicode MS" w:eastAsia="Arial Unicode MS"/>
      <w:sz w:val="24"/>
      <w:szCs w:val="24"/>
    </w:rPr>
  </w:style>
  <w:style w:type="paragraph" w:styleId="944">
    <w:name w:val="toc 9"/>
    <w:basedOn w:val="831"/>
    <w:next w:val="831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45">
    <w:name w:val="toc 5"/>
    <w:basedOn w:val="831"/>
    <w:next w:val="831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6">
    <w:name w:val="toc 4"/>
    <w:basedOn w:val="831"/>
    <w:next w:val="831"/>
    <w:uiPriority w:val="39"/>
    <w:pPr>
      <w:ind w:left="560"/>
    </w:pPr>
    <w:rPr>
      <w:rFonts w:cstheme="minorHAnsi"/>
      <w:sz w:val="20"/>
      <w:szCs w:val="20"/>
    </w:rPr>
  </w:style>
  <w:style w:type="paragraph" w:styleId="947" w:customStyle="1">
    <w:name w:val="Раздел положения 2"/>
    <w:basedOn w:val="831"/>
    <w:qFormat/>
    <w:pPr>
      <w:jc w:val="both"/>
      <w:pageBreakBefore/>
      <w:outlineLvl w:val="0"/>
    </w:pPr>
    <w:rPr>
      <w:b/>
    </w:rPr>
  </w:style>
  <w:style w:type="paragraph" w:styleId="948" w:customStyle="1">
    <w:name w:val="Знак Знак Знак Знак Знак Знак Знак Знак Знак"/>
    <w:basedOn w:val="831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49">
    <w:name w:val="No Spacing"/>
    <w:basedOn w:val="83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0">
    <w:name w:val="Subtitle"/>
    <w:basedOn w:val="831"/>
    <w:next w:val="831"/>
    <w:link w:val="88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51">
    <w:name w:val="List Paragraph"/>
    <w:basedOn w:val="831"/>
    <w:link w:val="89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2">
    <w:name w:val="Quote"/>
    <w:basedOn w:val="831"/>
    <w:next w:val="831"/>
    <w:link w:val="88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53">
    <w:name w:val="Intense Quote"/>
    <w:basedOn w:val="831"/>
    <w:next w:val="831"/>
    <w:link w:val="883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54">
    <w:name w:val="TOC Heading"/>
    <w:basedOn w:val="832"/>
    <w:next w:val="831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5">
    <w:name w:val="E-mail Signature"/>
    <w:basedOn w:val="831"/>
    <w:link w:val="889"/>
    <w:uiPriority w:val="99"/>
    <w:unhideWhenUsed/>
    <w:qFormat/>
    <w:rPr>
      <w:rFonts w:eastAsia="Calibri"/>
      <w:sz w:val="24"/>
      <w:szCs w:val="24"/>
    </w:rPr>
  </w:style>
  <w:style w:type="paragraph" w:styleId="956" w:customStyle="1">
    <w:name w:val="Знак"/>
    <w:basedOn w:val="83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7" w:customStyle="1">
    <w:name w:val="Нумерованный список ур3"/>
    <w:basedOn w:val="83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58" w:customStyle="1">
    <w:name w:val="Список 31"/>
    <w:basedOn w:val="831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9" w:customStyle="1">
    <w:name w:val="Нумерованный список ур2"/>
    <w:basedOn w:val="831"/>
    <w:qFormat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0">
    <w:name w:val="Revision"/>
    <w:uiPriority w:val="99"/>
    <w:semiHidden/>
    <w:qFormat/>
    <w:rPr>
      <w:rFonts w:eastAsia="Calibri"/>
      <w:sz w:val="24"/>
      <w:szCs w:val="24"/>
    </w:rPr>
  </w:style>
  <w:style w:type="paragraph" w:styleId="961" w:customStyle="1">
    <w:name w:val="ConsPlusNormal"/>
    <w:qFormat/>
    <w:pPr>
      <w:ind w:firstLine="720"/>
      <w:widowControl w:val="off"/>
    </w:pPr>
    <w:rPr>
      <w:rFonts w:ascii="Arial" w:hAnsi="Arial" w:cs="Arial"/>
    </w:rPr>
  </w:style>
  <w:style w:type="paragraph" w:styleId="962" w:customStyle="1">
    <w:name w:val="Знак Знак3 Знак Знак"/>
    <w:basedOn w:val="831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3" w:customStyle="1">
    <w:name w:val="Пункт"/>
    <w:basedOn w:val="831"/>
    <w:qFormat/>
    <w:pPr>
      <w:ind w:left="1134" w:right="800" w:hanging="1134"/>
      <w:jc w:val="both"/>
      <w:spacing w:before="120" w:line="360" w:lineRule="auto"/>
      <w:widowControl w:val="off"/>
      <w:tabs>
        <w:tab w:val="left" w:pos="1134" w:leader="none"/>
      </w:tabs>
    </w:pPr>
    <w:rPr>
      <w:rFonts w:ascii="Arial" w:hAnsi="Arial"/>
      <w:b/>
      <w:i/>
      <w:szCs w:val="20"/>
    </w:rPr>
  </w:style>
  <w:style w:type="paragraph" w:styleId="964" w:customStyle="1">
    <w:name w:val="Абзац списка1"/>
    <w:basedOn w:val="831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65" w:customStyle="1">
    <w:name w:val="Таблица"/>
    <w:basedOn w:val="831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66" w:customStyle="1">
    <w:name w:val="Таблица шапка"/>
    <w:basedOn w:val="831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967" w:customStyle="1">
    <w:name w:val="Подподпункт"/>
    <w:basedOn w:val="933"/>
    <w:link w:val="896"/>
    <w:qFormat/>
    <w:pPr>
      <w:ind w:left="5104" w:hanging="567"/>
      <w:spacing w:before="12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68" w:customStyle="1">
    <w:name w:val="УРОВЕНЬ_(а)"/>
    <w:basedOn w:val="951"/>
    <w:qFormat/>
    <w:pPr>
      <w:numPr>
        <w:ilvl w:val="3"/>
        <w:numId w:val="3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69" w:customStyle="1">
    <w:name w:val="УРОВЕНЬ_-"/>
    <w:basedOn w:val="951"/>
    <w:qFormat/>
    <w:pPr>
      <w:numPr>
        <w:ilvl w:val="4"/>
        <w:numId w:val="3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70" w:customStyle="1">
    <w:name w:val="УРОВЕНЬ_Абзац_тип2"/>
    <w:basedOn w:val="951"/>
    <w:qFormat/>
    <w:pPr>
      <w:numPr>
        <w:ilvl w:val="6"/>
        <w:numId w:val="3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71" w:customStyle="1">
    <w:name w:val="УРОВЕНЬ_Абзац_тип3"/>
    <w:basedOn w:val="951"/>
    <w:link w:val="897"/>
    <w:qFormat/>
    <w:pPr>
      <w:numPr>
        <w:ilvl w:val="7"/>
        <w:numId w:val="3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72" w:customStyle="1">
    <w:name w:val="УРОВЕНЬ_Подпись"/>
    <w:basedOn w:val="951"/>
    <w:qFormat/>
    <w:pPr>
      <w:numPr>
        <w:ilvl w:val="5"/>
        <w:numId w:val="3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973" w:customStyle="1">
    <w:name w:val="Стиль Заголовок 1 + по ширине"/>
    <w:basedOn w:val="832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74">
    <w:name w:val="endnote text"/>
    <w:basedOn w:val="831"/>
    <w:link w:val="900"/>
    <w:rPr>
      <w:sz w:val="20"/>
      <w:szCs w:val="20"/>
    </w:rPr>
  </w:style>
  <w:style w:type="paragraph" w:styleId="975" w:customStyle="1">
    <w:name w:val="Заголовок 2 КВВ"/>
    <w:basedOn w:val="831"/>
    <w:qFormat/>
    <w:pPr>
      <w:numPr>
        <w:ilvl w:val="0"/>
        <w:numId w:val="4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976" w:customStyle="1">
    <w:name w:val="Таблица текст"/>
    <w:basedOn w:val="831"/>
    <w:qFormat/>
    <w:pPr>
      <w:ind w:left="57" w:right="57"/>
      <w:spacing w:before="40" w:after="40"/>
    </w:pPr>
    <w:rPr>
      <w:sz w:val="24"/>
      <w:szCs w:val="26"/>
    </w:rPr>
  </w:style>
  <w:style w:type="paragraph" w:styleId="977">
    <w:name w:val="Normal (Web)"/>
    <w:basedOn w:val="831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978" w:customStyle="1">
    <w:name w:val="УРОВЕНЬ_1."/>
    <w:basedOn w:val="951"/>
    <w:link w:val="904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979">
    <w:name w:val="toc 6"/>
    <w:basedOn w:val="831"/>
    <w:next w:val="831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80">
    <w:name w:val="toc 7"/>
    <w:basedOn w:val="831"/>
    <w:next w:val="831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981">
    <w:name w:val="toc 8"/>
    <w:basedOn w:val="831"/>
    <w:next w:val="831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82" w:customStyle="1">
    <w:name w:val="Основной текст (2)"/>
    <w:qFormat/>
    <w:pPr>
      <w:spacing w:after="60" w:line="0" w:lineRule="atLeast"/>
      <w:shd w:val="clear" w:color="auto" w:fill="ffffff"/>
      <w:widowControl w:val="off"/>
    </w:pPr>
    <w:rPr>
      <w:color w:val="000000"/>
      <w:sz w:val="18"/>
      <w:szCs w:val="18"/>
      <w:lang w:bidi="ru-RU"/>
    </w:rPr>
  </w:style>
  <w:style w:type="paragraph" w:styleId="983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uiPriority w:val="34"/>
    <w:qFormat/>
    <w:pPr>
      <w:contextualSpacing/>
      <w:ind w:left="720"/>
    </w:pPr>
    <w:rPr>
      <w:sz w:val="24"/>
      <w:szCs w:val="24"/>
    </w:rPr>
  </w:style>
  <w:style w:type="paragraph" w:styleId="984" w:customStyle="1">
    <w:name w:val="Содержимое врезки"/>
    <w:basedOn w:val="831"/>
    <w:qFormat/>
  </w:style>
  <w:style w:type="numbering" w:styleId="985" w:customStyle="1">
    <w:name w:val="Стиль1"/>
    <w:uiPriority w:val="99"/>
    <w:qFormat/>
  </w:style>
  <w:style w:type="numbering" w:styleId="986" w:customStyle="1">
    <w:name w:val="Стиль2"/>
    <w:uiPriority w:val="99"/>
    <w:qFormat/>
  </w:style>
  <w:style w:type="table" w:styleId="987" w:customStyle="1">
    <w:name w:val="Table Grid Light"/>
    <w:basedOn w:val="84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88">
    <w:name w:val="Plain Table 1"/>
    <w:basedOn w:val="84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89">
    <w:name w:val="Plain Table 2"/>
    <w:basedOn w:val="84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90">
    <w:name w:val="Plain Table 3"/>
    <w:basedOn w:val="842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1">
    <w:name w:val="Plain Table 4"/>
    <w:basedOn w:val="842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Plain Table 5"/>
    <w:basedOn w:val="842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93">
    <w:name w:val="Grid Table 1 Light"/>
    <w:basedOn w:val="84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Grid Table 1 Light - Accent 1"/>
    <w:basedOn w:val="842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Grid Table 1 Light - Accent 2"/>
    <w:basedOn w:val="84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Grid Table 1 Light - Accent 3"/>
    <w:basedOn w:val="84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Grid Table 1 Light - Accent 4"/>
    <w:basedOn w:val="84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Grid Table 1 Light - Accent 5"/>
    <w:basedOn w:val="842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Grid Table 1 Light - Accent 6"/>
    <w:basedOn w:val="84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Grid Table 2"/>
    <w:basedOn w:val="84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2 - Accent 1"/>
    <w:basedOn w:val="842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Grid Table 2 - Accent 2"/>
    <w:basedOn w:val="84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Grid Table 2 - Accent 3"/>
    <w:basedOn w:val="84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Grid Table 2 - Accent 4"/>
    <w:basedOn w:val="84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Grid Table 2 - Accent 5"/>
    <w:basedOn w:val="842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Grid Table 2 - Accent 6"/>
    <w:basedOn w:val="84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Grid Table 3"/>
    <w:basedOn w:val="84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Grid Table 3 - Accent 1"/>
    <w:basedOn w:val="842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Grid Table 3 - Accent 2"/>
    <w:basedOn w:val="84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Grid Table 3 - Accent 3"/>
    <w:basedOn w:val="84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Grid Table 3 - Accent 4"/>
    <w:basedOn w:val="84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Grid Table 3 - Accent 5"/>
    <w:basedOn w:val="842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Grid Table 3 - Accent 6"/>
    <w:basedOn w:val="84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4"/>
    <w:basedOn w:val="84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15" w:customStyle="1">
    <w:name w:val="Grid Table 4 - Accent 1"/>
    <w:basedOn w:val="842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cPr>
        <w:shd w:val="clear" w:color="dae3f3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37dc8" w:fill="537dc8" w:themeFill="accent1" w:themeFillTint="EA"/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</w:tcBorders>
      </w:tcPr>
    </w:tblStylePr>
  </w:style>
  <w:style w:type="table" w:styleId="1016" w:customStyle="1">
    <w:name w:val="Grid Table 4 - Accent 2"/>
    <w:basedOn w:val="842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</w:tcBorders>
      </w:tcPr>
    </w:tblStylePr>
  </w:style>
  <w:style w:type="table" w:styleId="1017" w:customStyle="1">
    <w:name w:val="Grid Table 4 - Accent 3"/>
    <w:basedOn w:val="842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1018" w:customStyle="1">
    <w:name w:val="Grid Table 4 - Accent 4"/>
    <w:basedOn w:val="842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</w:tcBorders>
      </w:tcPr>
    </w:tblStylePr>
  </w:style>
  <w:style w:type="table" w:styleId="1019" w:customStyle="1">
    <w:name w:val="Grid Table 4 - Accent 5"/>
    <w:basedOn w:val="842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20" w:customStyle="1">
    <w:name w:val="Grid Table 4 - Accent 6"/>
    <w:basedOn w:val="842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21">
    <w:name w:val="Grid Table 5 Dark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022" w:customStyle="1">
    <w:name w:val="Grid Table 5 Dark- Accent 1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1023" w:customStyle="1">
    <w:name w:val="Grid Table 5 Dark - Accent 2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1024" w:customStyle="1">
    <w:name w:val="Grid Table 5 Dark - Accent 3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1025" w:customStyle="1">
    <w:name w:val="Grid Table 5 Dark- Accent 4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1026" w:customStyle="1">
    <w:name w:val="Grid Table 5 Dark - Accent 5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1027" w:customStyle="1">
    <w:name w:val="Grid Table 5 Dark - Accent 6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1028">
    <w:name w:val="Grid Table 6 Colorful"/>
    <w:basedOn w:val="84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29" w:customStyle="1">
    <w:name w:val="Grid Table 6 Colorful - Accent 1"/>
    <w:basedOn w:val="842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1030" w:customStyle="1">
    <w:name w:val="Grid Table 6 Colorful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31" w:customStyle="1">
    <w:name w:val="Grid Table 6 Colorful - Accent 3"/>
    <w:basedOn w:val="842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32" w:customStyle="1">
    <w:name w:val="Grid Table 6 Colorful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33" w:customStyle="1">
    <w:name w:val="Grid Table 6 Colorful - Accent 5"/>
    <w:basedOn w:val="842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1034" w:customStyle="1">
    <w:name w:val="Grid Table 6 Colorful - Accent 6"/>
    <w:basedOn w:val="842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1035">
    <w:name w:val="Grid Table 7 Colorful"/>
    <w:basedOn w:val="84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6" w:customStyle="1">
    <w:name w:val="Grid Table 7 Colorful - Accent 1"/>
    <w:basedOn w:val="842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7" w:customStyle="1">
    <w:name w:val="Grid Table 7 Colorful - Accent 2"/>
    <w:basedOn w:val="842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8" w:customStyle="1">
    <w:name w:val="Grid Table 7 Colorful - Accent 3"/>
    <w:basedOn w:val="842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9" w:customStyle="1">
    <w:name w:val="Grid Table 7 Colorful - Accent 4"/>
    <w:basedOn w:val="842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0" w:customStyle="1">
    <w:name w:val="Grid Table 7 Colorful - Accent 5"/>
    <w:basedOn w:val="842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5" w:sz="4" w:space="0"/>
          <w:right w:val="none" w:color="000000" w:sz="0" w:space="0"/>
        </w:tcBorders>
      </w:tcPr>
    </w:tblStylePr>
    <w:tblStylePr w:type="lastCol">
      <w:rPr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single" w:color="5B9BD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1" w:customStyle="1">
    <w:name w:val="Grid Table 7 Colorful - Accent 6"/>
    <w:basedOn w:val="842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2">
    <w:name w:val="List Table 1 Light"/>
    <w:basedOn w:val="842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List Table 1 Light - Accent 1"/>
    <w:basedOn w:val="842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List Table 1 Light - Accent 2"/>
    <w:basedOn w:val="842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List Table 1 Light - Accent 3"/>
    <w:basedOn w:val="842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List Table 1 Light - Accent 4"/>
    <w:basedOn w:val="842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List Table 1 Light - Accent 5"/>
    <w:basedOn w:val="842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List Table 1 Light - Accent 6"/>
    <w:basedOn w:val="842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List Table 2"/>
    <w:basedOn w:val="84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050" w:customStyle="1">
    <w:name w:val="List Table 2 - Accent 1"/>
    <w:basedOn w:val="842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</w:style>
  <w:style w:type="table" w:styleId="1051" w:customStyle="1">
    <w:name w:val="List Table 2 - Accent 2"/>
    <w:basedOn w:val="842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1052" w:customStyle="1">
    <w:name w:val="List Table 2 - Accent 3"/>
    <w:basedOn w:val="842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1053" w:customStyle="1">
    <w:name w:val="List Table 2 - Accent 4"/>
    <w:basedOn w:val="842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1054" w:customStyle="1">
    <w:name w:val="List Table 2 - Accent 5"/>
    <w:basedOn w:val="842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</w:style>
  <w:style w:type="table" w:styleId="1055" w:customStyle="1">
    <w:name w:val="List Table 2 - Accent 6"/>
    <w:basedOn w:val="842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1056">
    <w:name w:val="List Table 3"/>
    <w:basedOn w:val="84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 w:customStyle="1">
    <w:name w:val="List Table 3 - Accent 1"/>
    <w:basedOn w:val="842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 w:customStyle="1">
    <w:name w:val="List Table 3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9" w:customStyle="1">
    <w:name w:val="List Table 3 - Accent 3"/>
    <w:basedOn w:val="842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0" w:customStyle="1">
    <w:name w:val="List Table 3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1" w:customStyle="1">
    <w:name w:val="List Table 3 - Accent 5"/>
    <w:basedOn w:val="842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c2e5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 w:customStyle="1">
    <w:name w:val="List Table 3 - Accent 6"/>
    <w:basedOn w:val="842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3">
    <w:name w:val="List Table 4"/>
    <w:basedOn w:val="84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 w:customStyle="1">
    <w:name w:val="List Table 4 - Accent 1"/>
    <w:basedOn w:val="842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 w:customStyle="1">
    <w:name w:val="List Table 4 - Accent 2"/>
    <w:basedOn w:val="842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 w:customStyle="1">
    <w:name w:val="List Table 4 - Accent 3"/>
    <w:basedOn w:val="842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 w:customStyle="1">
    <w:name w:val="List Table 4 - Accent 4"/>
    <w:basedOn w:val="842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 w:customStyle="1">
    <w:name w:val="List Table 4 - Accent 5"/>
    <w:basedOn w:val="842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 w:customStyle="1">
    <w:name w:val="List Table 4 - Accent 6"/>
    <w:basedOn w:val="842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>
    <w:name w:val="List Table 5 Dark"/>
    <w:basedOn w:val="84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1" w:customStyle="1">
    <w:name w:val="List Table 5 Dark - Accent 1"/>
    <w:basedOn w:val="842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2" w:customStyle="1">
    <w:name w:val="List Table 5 Dark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3" w:customStyle="1">
    <w:name w:val="List Table 5 Dark - Accent 3"/>
    <w:basedOn w:val="842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4" w:customStyle="1">
    <w:name w:val="List Table 5 Dark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5" w:customStyle="1">
    <w:name w:val="List Table 5 Dark - Accent 5"/>
    <w:basedOn w:val="842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5B9BD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6" w:customStyle="1">
    <w:name w:val="List Table 5 Dark - Accent 6"/>
    <w:basedOn w:val="842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7">
    <w:name w:val="List Table 6 Colorful"/>
    <w:basedOn w:val="84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078" w:customStyle="1">
    <w:name w:val="List Table 6 Colorful - Accent 1"/>
    <w:basedOn w:val="842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79" w:customStyle="1">
    <w:name w:val="List Table 6 Colorful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1080" w:customStyle="1">
    <w:name w:val="List Table 6 Colorful - Accent 3"/>
    <w:basedOn w:val="842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1081" w:customStyle="1">
    <w:name w:val="List Table 6 Colorful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1082" w:customStyle="1">
    <w:name w:val="List Table 6 Colorful - Accent 5"/>
    <w:basedOn w:val="842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5B9BD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5B9BD5" w:themeColor="accent5" w:sz="4" w:space="0"/>
        </w:tcBorders>
      </w:tcPr>
    </w:tblStylePr>
  </w:style>
  <w:style w:type="table" w:styleId="1083" w:customStyle="1">
    <w:name w:val="List Table 6 Colorful - Accent 6"/>
    <w:basedOn w:val="842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1084">
    <w:name w:val="List Table 7 Colorful"/>
    <w:basedOn w:val="84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5" w:customStyle="1">
    <w:name w:val="List Table 7 Colorful - Accent 1"/>
    <w:basedOn w:val="842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6" w:customStyle="1">
    <w:name w:val="List Table 7 Colorful - Accent 2"/>
    <w:basedOn w:val="842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7" w:customStyle="1">
    <w:name w:val="List Table 7 Colorful - Accent 3"/>
    <w:basedOn w:val="842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8" w:customStyle="1">
    <w:name w:val="List Table 7 Colorful - Accent 4"/>
    <w:basedOn w:val="842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9" w:customStyle="1">
    <w:name w:val="List Table 7 Colorful - Accent 5"/>
    <w:basedOn w:val="842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5" w:sz="4" w:space="0"/>
          <w:right w:val="none" w:color="000000" w:sz="0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single" w:color="5B9BD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0" w:customStyle="1">
    <w:name w:val="List Table 7 Colorful - Accent 6"/>
    <w:basedOn w:val="842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1" w:customStyle="1">
    <w:name w:val="Lined - Accent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92" w:customStyle="1">
    <w:name w:val="Lined - Accent 1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1093" w:customStyle="1">
    <w:name w:val="Lined - Accent 2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94" w:customStyle="1">
    <w:name w:val="Lined - Accent 3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95" w:customStyle="1">
    <w:name w:val="Lined - Accent 4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96" w:customStyle="1">
    <w:name w:val="Lined - Accent 5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1097" w:customStyle="1">
    <w:name w:val="Lined - Accent 6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98" w:customStyle="1">
    <w:name w:val="Bordered &amp; Lined - Accent"/>
    <w:basedOn w:val="84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99" w:customStyle="1">
    <w:name w:val="Bordered &amp; Lined - Accent 1"/>
    <w:basedOn w:val="842"/>
    <w:uiPriority w:val="99"/>
    <w:rPr>
      <w:color w:val="404040"/>
    </w:r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1100" w:customStyle="1">
    <w:name w:val="Bordered &amp; Lined - Accent 2"/>
    <w:basedOn w:val="842"/>
    <w:uiPriority w:val="99"/>
    <w:rPr>
      <w:color w:val="40404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101" w:customStyle="1">
    <w:name w:val="Bordered &amp; Lined - Accent 3"/>
    <w:basedOn w:val="842"/>
    <w:uiPriority w:val="99"/>
    <w:rPr>
      <w:color w:val="40404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102" w:customStyle="1">
    <w:name w:val="Bordered &amp; Lined - Accent 4"/>
    <w:basedOn w:val="842"/>
    <w:uiPriority w:val="99"/>
    <w:rPr>
      <w:color w:val="40404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103" w:customStyle="1">
    <w:name w:val="Bordered &amp; Lined - Accent 5"/>
    <w:basedOn w:val="842"/>
    <w:uiPriority w:val="99"/>
    <w:rPr>
      <w:color w:val="404040"/>
    </w:r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1104" w:customStyle="1">
    <w:name w:val="Bordered &amp; Lined - Accent 6"/>
    <w:basedOn w:val="842"/>
    <w:uiPriority w:val="99"/>
    <w:rPr>
      <w:color w:val="40404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105" w:customStyle="1">
    <w:name w:val="Bordered"/>
    <w:basedOn w:val="84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106" w:customStyle="1">
    <w:name w:val="Bordered - Accent 1"/>
    <w:basedOn w:val="842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107" w:customStyle="1">
    <w:name w:val="Bordered - Accent 2"/>
    <w:basedOn w:val="84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1108" w:customStyle="1">
    <w:name w:val="Bordered - Accent 3"/>
    <w:basedOn w:val="84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1109" w:customStyle="1">
    <w:name w:val="Bordered - Accent 4"/>
    <w:basedOn w:val="84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1110" w:customStyle="1">
    <w:name w:val="Bordered - Accent 5"/>
    <w:basedOn w:val="842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5" w:sz="12" w:space="0"/>
        </w:tcBorders>
      </w:tcPr>
    </w:tblStylePr>
  </w:style>
  <w:style w:type="table" w:styleId="1111" w:customStyle="1">
    <w:name w:val="Bordered - Accent 6"/>
    <w:basedOn w:val="84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0AD47" w:themeColor="accent6" w:sz="12" w:space="0"/>
        </w:tcBorders>
      </w:tcPr>
    </w:tblStylePr>
  </w:style>
  <w:style w:type="table" w:styleId="1112">
    <w:name w:val="Table Grid"/>
    <w:basedOn w:val="842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13" w:customStyle="1">
    <w:name w:val="Сетка таблицы1"/>
    <w:basedOn w:val="842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customXml" Target="../customXml/item1.xml" /><Relationship Id="rId20" Type="http://schemas.openxmlformats.org/officeDocument/2006/relationships/hyperlink" Target="http://www.zakupki.gov.ru/" TargetMode="External"/><Relationship Id="rId21" Type="http://schemas.openxmlformats.org/officeDocument/2006/relationships/hyperlink" Target="mailto:khalturina-ny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F4B63-6536-4935-AA6D-58A5A4D7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nikitina_nv</cp:lastModifiedBy>
  <cp:revision>84</cp:revision>
  <dcterms:created xsi:type="dcterms:W3CDTF">2023-11-01T05:05:00Z</dcterms:created>
  <dcterms:modified xsi:type="dcterms:W3CDTF">2026-05-25T01:38:23Z</dcterms:modified>
</cp:coreProperties>
</file>